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6DC5" w:rsidRDefault="00E86DC5" w:rsidP="00E86DC5">
      <w:pPr>
        <w:jc w:val="center"/>
        <w:rPr>
          <w:rFonts w:ascii="Arial Narrow" w:hAnsi="Arial Narrow"/>
        </w:rPr>
      </w:pPr>
      <w:r>
        <w:rPr>
          <w:rFonts w:ascii="Arial Narrow" w:hAnsi="Arial Narrow"/>
          <w:b/>
        </w:rPr>
        <w:t>Best practices in alternatives to prison – Portugal</w:t>
      </w:r>
    </w:p>
    <w:p w:rsidR="00E86DC5" w:rsidRDefault="00E86DC5" w:rsidP="00E86DC5">
      <w:pPr>
        <w:jc w:val="both"/>
        <w:rPr>
          <w:rFonts w:ascii="Arial Narrow" w:hAnsi="Arial Narrow"/>
        </w:rPr>
      </w:pPr>
    </w:p>
    <w:p w:rsidR="00E86DC5" w:rsidRDefault="00E86DC5" w:rsidP="00E86DC5">
      <w:pPr>
        <w:jc w:val="both"/>
        <w:rPr>
          <w:rFonts w:ascii="Arial Narrow" w:hAnsi="Arial Narrow"/>
        </w:rPr>
      </w:pPr>
      <w:r>
        <w:rPr>
          <w:rFonts w:ascii="Arial Narrow" w:hAnsi="Arial Narrow"/>
        </w:rPr>
        <w:t xml:space="preserve">Alternatives to prison are a non-issue in Portugal. There </w:t>
      </w:r>
      <w:r w:rsidR="00E825E9">
        <w:rPr>
          <w:rFonts w:ascii="Arial Narrow" w:hAnsi="Arial Narrow"/>
        </w:rPr>
        <w:t>is no public debate on the matter</w:t>
      </w:r>
      <w:r>
        <w:rPr>
          <w:rFonts w:ascii="Arial Narrow" w:hAnsi="Arial Narrow"/>
        </w:rPr>
        <w:t>, nor any studies on which to base such a debate. The Ministry of Justice shows no interest in the idea. Where there is debate at the judicial administrative level as to anything beyond incarceration, the discussion centres on the growing use of electronic monitoring promoted by the General Directorate of Probation and Prison Services (</w:t>
      </w:r>
      <w:proofErr w:type="spellStart"/>
      <w:r w:rsidRPr="00E86DC5">
        <w:rPr>
          <w:rFonts w:ascii="Arial Narrow" w:hAnsi="Arial Narrow"/>
        </w:rPr>
        <w:t>Direção</w:t>
      </w:r>
      <w:proofErr w:type="spellEnd"/>
      <w:r w:rsidRPr="00E86DC5">
        <w:rPr>
          <w:rFonts w:ascii="Arial Narrow" w:hAnsi="Arial Narrow"/>
        </w:rPr>
        <w:t xml:space="preserve"> </w:t>
      </w:r>
      <w:proofErr w:type="spellStart"/>
      <w:r w:rsidRPr="00E86DC5">
        <w:rPr>
          <w:rFonts w:ascii="Arial Narrow" w:hAnsi="Arial Narrow"/>
        </w:rPr>
        <w:t>Geral</w:t>
      </w:r>
      <w:proofErr w:type="spellEnd"/>
      <w:r w:rsidRPr="00E86DC5">
        <w:rPr>
          <w:rFonts w:ascii="Arial Narrow" w:hAnsi="Arial Narrow"/>
        </w:rPr>
        <w:t xml:space="preserve"> de </w:t>
      </w:r>
      <w:proofErr w:type="spellStart"/>
      <w:r w:rsidRPr="00E86DC5">
        <w:rPr>
          <w:rFonts w:ascii="Arial Narrow" w:hAnsi="Arial Narrow"/>
        </w:rPr>
        <w:t>Reinserção</w:t>
      </w:r>
      <w:proofErr w:type="spellEnd"/>
      <w:r w:rsidRPr="00E86DC5">
        <w:rPr>
          <w:rFonts w:ascii="Arial Narrow" w:hAnsi="Arial Narrow"/>
        </w:rPr>
        <w:t xml:space="preserve"> e </w:t>
      </w:r>
      <w:proofErr w:type="spellStart"/>
      <w:r w:rsidRPr="00E86DC5">
        <w:rPr>
          <w:rFonts w:ascii="Arial Narrow" w:hAnsi="Arial Narrow"/>
        </w:rPr>
        <w:t>Serviços</w:t>
      </w:r>
      <w:proofErr w:type="spellEnd"/>
      <w:r w:rsidRPr="00E86DC5">
        <w:rPr>
          <w:rFonts w:ascii="Arial Narrow" w:hAnsi="Arial Narrow"/>
        </w:rPr>
        <w:t xml:space="preserve"> </w:t>
      </w:r>
      <w:proofErr w:type="spellStart"/>
      <w:r w:rsidRPr="00E86DC5">
        <w:rPr>
          <w:rFonts w:ascii="Arial Narrow" w:hAnsi="Arial Narrow"/>
        </w:rPr>
        <w:t>Prisionais</w:t>
      </w:r>
      <w:proofErr w:type="spellEnd"/>
      <w:r>
        <w:rPr>
          <w:rFonts w:ascii="Arial Narrow" w:hAnsi="Arial Narrow"/>
        </w:rPr>
        <w:t xml:space="preserve">). Even here the debate has only arisen as a consequence of the recent house arrest of some high profile public figures, and tends to be of little substance. </w:t>
      </w:r>
      <w:r w:rsidR="00E825E9">
        <w:rPr>
          <w:rFonts w:ascii="Arial Narrow" w:hAnsi="Arial Narrow"/>
        </w:rPr>
        <w:t xml:space="preserve">Also hindering this project’s WS1 attempt to collect pertinent information for an analysis of existing programmes and/or alternatives to prison </w:t>
      </w:r>
      <w:r w:rsidR="001E7A2B">
        <w:rPr>
          <w:rFonts w:ascii="Arial Narrow" w:hAnsi="Arial Narrow"/>
        </w:rPr>
        <w:t>is</w:t>
      </w:r>
      <w:r w:rsidR="00E825E9">
        <w:rPr>
          <w:rFonts w:ascii="Arial Narrow" w:hAnsi="Arial Narrow"/>
        </w:rPr>
        <w:t xml:space="preserve"> the lack of collaboration on the part of </w:t>
      </w:r>
      <w:r w:rsidR="00E825E9" w:rsidRPr="00E825E9">
        <w:rPr>
          <w:rFonts w:ascii="Arial Narrow" w:hAnsi="Arial Narrow"/>
        </w:rPr>
        <w:t>General Directorate of Probation and Prison Services</w:t>
      </w:r>
      <w:r w:rsidR="00E825E9">
        <w:rPr>
          <w:rFonts w:ascii="Arial Narrow" w:hAnsi="Arial Narrow"/>
        </w:rPr>
        <w:t>.</w:t>
      </w:r>
    </w:p>
    <w:p w:rsidR="00E825E9" w:rsidRDefault="005C39CF" w:rsidP="00E86DC5">
      <w:pPr>
        <w:jc w:val="both"/>
        <w:rPr>
          <w:rFonts w:ascii="Arial Narrow" w:hAnsi="Arial Narrow"/>
        </w:rPr>
      </w:pPr>
      <w:r>
        <w:rPr>
          <w:rFonts w:ascii="Arial Narrow" w:hAnsi="Arial Narrow"/>
        </w:rPr>
        <w:t>That said, we have been able to identify two examples of interesting practices promoted</w:t>
      </w:r>
      <w:r w:rsidR="00A36C86">
        <w:rPr>
          <w:rFonts w:ascii="Arial Narrow" w:hAnsi="Arial Narrow"/>
        </w:rPr>
        <w:t>, in collaboration with the judicial system,</w:t>
      </w:r>
      <w:r>
        <w:rPr>
          <w:rFonts w:ascii="Arial Narrow" w:hAnsi="Arial Narrow"/>
        </w:rPr>
        <w:t xml:space="preserve"> by organization</w:t>
      </w:r>
      <w:r w:rsidR="00A36C86">
        <w:rPr>
          <w:rFonts w:ascii="Arial Narrow" w:hAnsi="Arial Narrow"/>
        </w:rPr>
        <w:t>s and/or services completely independent of that system,</w:t>
      </w:r>
      <w:r>
        <w:rPr>
          <w:rFonts w:ascii="Arial Narrow" w:hAnsi="Arial Narrow"/>
        </w:rPr>
        <w:t xml:space="preserve"> which</w:t>
      </w:r>
      <w:r w:rsidR="00A36C86">
        <w:rPr>
          <w:rFonts w:ascii="Arial Narrow" w:hAnsi="Arial Narrow"/>
        </w:rPr>
        <w:t>, if yet only marginally employed in Portugal,</w:t>
      </w:r>
      <w:r>
        <w:rPr>
          <w:rFonts w:ascii="Arial Narrow" w:hAnsi="Arial Narrow"/>
        </w:rPr>
        <w:t xml:space="preserve"> we believe have the potential to inspire </w:t>
      </w:r>
      <w:r w:rsidR="00D1187E">
        <w:rPr>
          <w:rFonts w:ascii="Arial Narrow" w:hAnsi="Arial Narrow"/>
        </w:rPr>
        <w:t xml:space="preserve">a much </w:t>
      </w:r>
      <w:r>
        <w:rPr>
          <w:rFonts w:ascii="Arial Narrow" w:hAnsi="Arial Narrow"/>
        </w:rPr>
        <w:t xml:space="preserve">broader </w:t>
      </w:r>
      <w:r w:rsidR="00D1187E">
        <w:rPr>
          <w:rFonts w:ascii="Arial Narrow" w:hAnsi="Arial Narrow"/>
        </w:rPr>
        <w:t>approach</w:t>
      </w:r>
      <w:r w:rsidR="00A36C86">
        <w:rPr>
          <w:rFonts w:ascii="Arial Narrow" w:hAnsi="Arial Narrow"/>
        </w:rPr>
        <w:t xml:space="preserve"> to </w:t>
      </w:r>
      <w:r>
        <w:rPr>
          <w:rFonts w:ascii="Arial Narrow" w:hAnsi="Arial Narrow"/>
        </w:rPr>
        <w:t>alternatives to prison.</w:t>
      </w:r>
      <w:r w:rsidR="004F78B4">
        <w:rPr>
          <w:rFonts w:ascii="Arial Narrow" w:hAnsi="Arial Narrow"/>
        </w:rPr>
        <w:t xml:space="preserve"> These are </w:t>
      </w:r>
      <w:r w:rsidR="001E7A2B">
        <w:rPr>
          <w:rFonts w:ascii="Arial Narrow" w:hAnsi="Arial Narrow"/>
        </w:rPr>
        <w:t xml:space="preserve">a) </w:t>
      </w:r>
      <w:r w:rsidR="004F78B4">
        <w:rPr>
          <w:rFonts w:ascii="Arial Narrow" w:hAnsi="Arial Narrow"/>
        </w:rPr>
        <w:t xml:space="preserve">the system arising out of the Portuguese policy of decriminalization to handle the people which are administratively dealt with for use or possession of illicit substances; and </w:t>
      </w:r>
      <w:r w:rsidR="001E7A2B">
        <w:rPr>
          <w:rFonts w:ascii="Arial Narrow" w:hAnsi="Arial Narrow"/>
        </w:rPr>
        <w:t xml:space="preserve">b) </w:t>
      </w:r>
      <w:r w:rsidR="004F78B4">
        <w:rPr>
          <w:rFonts w:ascii="Arial Narrow" w:hAnsi="Arial Narrow"/>
        </w:rPr>
        <w:t>the approaches to prevention of domestic violence organized by NGO’s in two</w:t>
      </w:r>
      <w:r w:rsidR="00D1187E">
        <w:rPr>
          <w:rFonts w:ascii="Arial Narrow" w:hAnsi="Arial Narrow"/>
        </w:rPr>
        <w:t xml:space="preserve"> districts</w:t>
      </w:r>
      <w:r w:rsidR="004F78B4">
        <w:rPr>
          <w:rFonts w:ascii="Arial Narrow" w:hAnsi="Arial Narrow"/>
        </w:rPr>
        <w:t xml:space="preserve"> </w:t>
      </w:r>
      <w:r w:rsidR="00D1187E">
        <w:rPr>
          <w:rFonts w:ascii="Arial Narrow" w:hAnsi="Arial Narrow"/>
        </w:rPr>
        <w:t>with the support of the</w:t>
      </w:r>
      <w:r w:rsidR="004F78B4">
        <w:rPr>
          <w:rFonts w:ascii="Arial Narrow" w:hAnsi="Arial Narrow"/>
        </w:rPr>
        <w:t xml:space="preserve"> </w:t>
      </w:r>
      <w:r w:rsidR="00D1187E">
        <w:rPr>
          <w:rFonts w:ascii="Arial Narrow" w:hAnsi="Arial Narrow"/>
        </w:rPr>
        <w:t>municipalities.</w:t>
      </w:r>
    </w:p>
    <w:p w:rsidR="00E7570D" w:rsidRDefault="00E7570D" w:rsidP="00E86DC5">
      <w:pPr>
        <w:jc w:val="both"/>
        <w:rPr>
          <w:rFonts w:ascii="Arial Narrow" w:hAnsi="Arial Narrow"/>
          <w:b/>
        </w:rPr>
      </w:pPr>
    </w:p>
    <w:p w:rsidR="00D1187E" w:rsidRDefault="00D1187E" w:rsidP="00E86DC5">
      <w:pPr>
        <w:jc w:val="both"/>
        <w:rPr>
          <w:rFonts w:ascii="Arial Narrow" w:hAnsi="Arial Narrow"/>
        </w:rPr>
      </w:pPr>
      <w:r>
        <w:rPr>
          <w:rFonts w:ascii="Arial Narrow" w:hAnsi="Arial Narrow"/>
          <w:b/>
        </w:rPr>
        <w:t xml:space="preserve">1. </w:t>
      </w:r>
      <w:r>
        <w:rPr>
          <w:rFonts w:ascii="Arial Narrow" w:hAnsi="Arial Narrow"/>
          <w:b/>
        </w:rPr>
        <w:tab/>
        <w:t>Commissions for the Dissuasion from Drug Addiction</w:t>
      </w:r>
    </w:p>
    <w:p w:rsidR="006916BB" w:rsidRDefault="00D1187E" w:rsidP="00E86DC5">
      <w:pPr>
        <w:jc w:val="both"/>
        <w:rPr>
          <w:rFonts w:ascii="Arial Narrow" w:hAnsi="Arial Narrow"/>
        </w:rPr>
      </w:pPr>
      <w:r>
        <w:rPr>
          <w:rFonts w:ascii="Arial Narrow" w:hAnsi="Arial Narrow"/>
        </w:rPr>
        <w:t>The Commissions for the Dissuasion from Drug Addiction (</w:t>
      </w:r>
      <w:proofErr w:type="spellStart"/>
      <w:r w:rsidRPr="00D1187E">
        <w:rPr>
          <w:rFonts w:ascii="Arial Narrow" w:hAnsi="Arial Narrow"/>
        </w:rPr>
        <w:t>Comissões</w:t>
      </w:r>
      <w:proofErr w:type="spellEnd"/>
      <w:r w:rsidRPr="00D1187E">
        <w:rPr>
          <w:rFonts w:ascii="Arial Narrow" w:hAnsi="Arial Narrow"/>
        </w:rPr>
        <w:t xml:space="preserve"> para a </w:t>
      </w:r>
      <w:proofErr w:type="spellStart"/>
      <w:r w:rsidRPr="00D1187E">
        <w:rPr>
          <w:rFonts w:ascii="Arial Narrow" w:hAnsi="Arial Narrow"/>
        </w:rPr>
        <w:t>Dissuasão</w:t>
      </w:r>
      <w:proofErr w:type="spellEnd"/>
      <w:r w:rsidRPr="00D1187E">
        <w:rPr>
          <w:rFonts w:ascii="Arial Narrow" w:hAnsi="Arial Narrow"/>
        </w:rPr>
        <w:t xml:space="preserve"> da </w:t>
      </w:r>
      <w:proofErr w:type="spellStart"/>
      <w:r w:rsidRPr="00D1187E">
        <w:rPr>
          <w:rFonts w:ascii="Arial Narrow" w:hAnsi="Arial Narrow"/>
        </w:rPr>
        <w:t>Toxicodependência</w:t>
      </w:r>
      <w:proofErr w:type="spellEnd"/>
      <w:r>
        <w:rPr>
          <w:rFonts w:ascii="Arial Narrow" w:hAnsi="Arial Narrow"/>
        </w:rPr>
        <w:t xml:space="preserve">) or CDTs, as they are commonly known in Portugal, are </w:t>
      </w:r>
      <w:r w:rsidR="001E7A2B">
        <w:rPr>
          <w:rFonts w:ascii="Arial Narrow" w:hAnsi="Arial Narrow"/>
        </w:rPr>
        <w:t>overseen by</w:t>
      </w:r>
      <w:r w:rsidR="006916BB">
        <w:rPr>
          <w:rFonts w:ascii="Arial Narrow" w:hAnsi="Arial Narrow"/>
        </w:rPr>
        <w:t xml:space="preserve"> SICAD – Services of Intervention in Addictive Behaviours and Dependencies (</w:t>
      </w:r>
      <w:proofErr w:type="spellStart"/>
      <w:r w:rsidR="006916BB" w:rsidRPr="006916BB">
        <w:rPr>
          <w:rFonts w:ascii="Arial Narrow" w:hAnsi="Arial Narrow"/>
        </w:rPr>
        <w:t>Serviço</w:t>
      </w:r>
      <w:proofErr w:type="spellEnd"/>
      <w:r w:rsidR="006916BB" w:rsidRPr="006916BB">
        <w:rPr>
          <w:rFonts w:ascii="Arial Narrow" w:hAnsi="Arial Narrow"/>
        </w:rPr>
        <w:t xml:space="preserve"> de </w:t>
      </w:r>
      <w:proofErr w:type="spellStart"/>
      <w:r w:rsidR="006916BB" w:rsidRPr="006916BB">
        <w:rPr>
          <w:rFonts w:ascii="Arial Narrow" w:hAnsi="Arial Narrow"/>
        </w:rPr>
        <w:t>Intervenção</w:t>
      </w:r>
      <w:proofErr w:type="spellEnd"/>
      <w:r w:rsidR="006916BB" w:rsidRPr="006916BB">
        <w:rPr>
          <w:rFonts w:ascii="Arial Narrow" w:hAnsi="Arial Narrow"/>
        </w:rPr>
        <w:t xml:space="preserve"> </w:t>
      </w:r>
      <w:proofErr w:type="spellStart"/>
      <w:r w:rsidR="006916BB" w:rsidRPr="006916BB">
        <w:rPr>
          <w:rFonts w:ascii="Arial Narrow" w:hAnsi="Arial Narrow"/>
        </w:rPr>
        <w:t>nos</w:t>
      </w:r>
      <w:proofErr w:type="spellEnd"/>
      <w:r w:rsidR="006916BB" w:rsidRPr="006916BB">
        <w:rPr>
          <w:rFonts w:ascii="Arial Narrow" w:hAnsi="Arial Narrow"/>
        </w:rPr>
        <w:t xml:space="preserve"> </w:t>
      </w:r>
      <w:proofErr w:type="spellStart"/>
      <w:r w:rsidR="006916BB" w:rsidRPr="006916BB">
        <w:rPr>
          <w:rFonts w:ascii="Arial Narrow" w:hAnsi="Arial Narrow"/>
        </w:rPr>
        <w:t>Comportamentos</w:t>
      </w:r>
      <w:proofErr w:type="spellEnd"/>
      <w:r w:rsidR="006916BB" w:rsidRPr="006916BB">
        <w:rPr>
          <w:rFonts w:ascii="Arial Narrow" w:hAnsi="Arial Narrow"/>
        </w:rPr>
        <w:t xml:space="preserve"> </w:t>
      </w:r>
      <w:proofErr w:type="spellStart"/>
      <w:r w:rsidR="006916BB" w:rsidRPr="006916BB">
        <w:rPr>
          <w:rFonts w:ascii="Arial Narrow" w:hAnsi="Arial Narrow"/>
        </w:rPr>
        <w:t>Aditivos</w:t>
      </w:r>
      <w:proofErr w:type="spellEnd"/>
      <w:r w:rsidR="006916BB" w:rsidRPr="006916BB">
        <w:rPr>
          <w:rFonts w:ascii="Arial Narrow" w:hAnsi="Arial Narrow"/>
        </w:rPr>
        <w:t xml:space="preserve"> e </w:t>
      </w:r>
      <w:proofErr w:type="spellStart"/>
      <w:r w:rsidR="006916BB" w:rsidRPr="006916BB">
        <w:rPr>
          <w:rFonts w:ascii="Arial Narrow" w:hAnsi="Arial Narrow"/>
        </w:rPr>
        <w:t>nas</w:t>
      </w:r>
      <w:proofErr w:type="spellEnd"/>
      <w:r w:rsidR="006916BB" w:rsidRPr="006916BB">
        <w:rPr>
          <w:rFonts w:ascii="Arial Narrow" w:hAnsi="Arial Narrow"/>
        </w:rPr>
        <w:t xml:space="preserve"> </w:t>
      </w:r>
      <w:proofErr w:type="spellStart"/>
      <w:r w:rsidR="006916BB" w:rsidRPr="006916BB">
        <w:rPr>
          <w:rFonts w:ascii="Arial Narrow" w:hAnsi="Arial Narrow"/>
        </w:rPr>
        <w:t>Dependências</w:t>
      </w:r>
      <w:proofErr w:type="spellEnd"/>
      <w:r w:rsidR="006916BB">
        <w:rPr>
          <w:rFonts w:ascii="Arial Narrow" w:hAnsi="Arial Narrow"/>
        </w:rPr>
        <w:t>), a government body charged with “promoting the reduction of the consumption of psychoactive substances, the prevention of addictive behaviours and the reduction of dependencies.”</w:t>
      </w:r>
      <w:r w:rsidR="00AB743F">
        <w:rPr>
          <w:rFonts w:ascii="Arial Narrow" w:hAnsi="Arial Narrow"/>
        </w:rPr>
        <w:t xml:space="preserve"> The CDTs were created in 2001 as the core of the mechanism for implementing Law n.30 of November 29, 2000, generally known as “the law of decriminalization.” This law instituted a dramatic shift in how the state dealt with the use of illicit drugs. From a criminal infraction, the use or possession of drugs up to a certain limit became a civil/administrative infraction</w:t>
      </w:r>
      <w:r w:rsidR="004C76A0">
        <w:rPr>
          <w:rFonts w:ascii="Arial Narrow" w:hAnsi="Arial Narrow"/>
        </w:rPr>
        <w:t>. The law decriminalizes the purchase, possession and consumption of all drugs</w:t>
      </w:r>
      <w:r w:rsidR="00F94FD9">
        <w:rPr>
          <w:rFonts w:ascii="Arial Narrow" w:hAnsi="Arial Narrow"/>
        </w:rPr>
        <w:t xml:space="preserve"> up to a predetermined maximum amount stipulated as the average 10 day consumption for each particular drug. It “defines the legal regime </w:t>
      </w:r>
      <w:r w:rsidR="00806525">
        <w:rPr>
          <w:rFonts w:ascii="Arial Narrow" w:hAnsi="Arial Narrow"/>
        </w:rPr>
        <w:t>applicable to the consumption of</w:t>
      </w:r>
      <w:r w:rsidR="00806525" w:rsidRPr="00806525">
        <w:t xml:space="preserve"> </w:t>
      </w:r>
      <w:r w:rsidR="00806525" w:rsidRPr="00806525">
        <w:rPr>
          <w:rFonts w:ascii="Arial Narrow" w:hAnsi="Arial Narrow"/>
        </w:rPr>
        <w:t>narcotics and psychotropic substances</w:t>
      </w:r>
      <w:r w:rsidR="00806525">
        <w:rPr>
          <w:rFonts w:ascii="Arial Narrow" w:hAnsi="Arial Narrow"/>
        </w:rPr>
        <w:t>, as well as the sanitary and social protection of individuals who consume such substance without medical prescription,”</w:t>
      </w:r>
      <w:r w:rsidR="00851790">
        <w:rPr>
          <w:rFonts w:ascii="Arial Narrow" w:hAnsi="Arial Narrow"/>
        </w:rPr>
        <w:t xml:space="preserve"> structuring the decriminalisation (not legalisation) of </w:t>
      </w:r>
      <w:r w:rsidR="008E5CEB">
        <w:rPr>
          <w:rFonts w:ascii="Arial Narrow" w:hAnsi="Arial Narrow"/>
        </w:rPr>
        <w:t xml:space="preserve">the </w:t>
      </w:r>
      <w:r w:rsidR="00851790">
        <w:rPr>
          <w:rFonts w:ascii="Arial Narrow" w:hAnsi="Arial Narrow"/>
        </w:rPr>
        <w:t>consumption of drugs policy while</w:t>
      </w:r>
      <w:r w:rsidR="008E5CEB">
        <w:rPr>
          <w:rFonts w:ascii="Arial Narrow" w:hAnsi="Arial Narrow"/>
        </w:rPr>
        <w:t xml:space="preserve"> maintaining the criminal status of</w:t>
      </w:r>
      <w:r w:rsidR="00851790">
        <w:rPr>
          <w:rFonts w:ascii="Arial Narrow" w:hAnsi="Arial Narrow"/>
        </w:rPr>
        <w:t xml:space="preserve"> drug dealing/trafficking. </w:t>
      </w:r>
      <w:r w:rsidR="008E5CEB">
        <w:rPr>
          <w:rFonts w:ascii="Arial Narrow" w:hAnsi="Arial Narrow"/>
        </w:rPr>
        <w:t>Decree-law n. 130-A/2001 of April 23, 2001, establishes the organization</w:t>
      </w:r>
      <w:r w:rsidR="009F002C">
        <w:rPr>
          <w:rFonts w:ascii="Arial Narrow" w:hAnsi="Arial Narrow"/>
        </w:rPr>
        <w:t xml:space="preserve"> as well as</w:t>
      </w:r>
      <w:r w:rsidR="008E5CEB">
        <w:rPr>
          <w:rFonts w:ascii="Arial Narrow" w:hAnsi="Arial Narrow"/>
        </w:rPr>
        <w:t xml:space="preserve"> operating </w:t>
      </w:r>
      <w:r w:rsidR="009F002C">
        <w:rPr>
          <w:rFonts w:ascii="Arial Narrow" w:hAnsi="Arial Narrow"/>
        </w:rPr>
        <w:t>parameters</w:t>
      </w:r>
      <w:r w:rsidR="008E5CEB">
        <w:rPr>
          <w:rFonts w:ascii="Arial Narrow" w:hAnsi="Arial Narrow"/>
        </w:rPr>
        <w:t xml:space="preserve"> </w:t>
      </w:r>
      <w:r w:rsidR="009F002C">
        <w:rPr>
          <w:rFonts w:ascii="Arial Narrow" w:hAnsi="Arial Narrow"/>
        </w:rPr>
        <w:t>and procedures</w:t>
      </w:r>
      <w:r w:rsidR="008E5CEB">
        <w:rPr>
          <w:rFonts w:ascii="Arial Narrow" w:hAnsi="Arial Narrow"/>
        </w:rPr>
        <w:t xml:space="preserve"> </w:t>
      </w:r>
      <w:r w:rsidR="009F002C">
        <w:rPr>
          <w:rFonts w:ascii="Arial Narrow" w:hAnsi="Arial Narrow"/>
        </w:rPr>
        <w:t>of the CDTs, giving these commissions the authority to handle the relevant civil processes and related sanctions.</w:t>
      </w:r>
    </w:p>
    <w:p w:rsidR="00AA4BFD" w:rsidRDefault="00AA4BFD" w:rsidP="00E86DC5">
      <w:pPr>
        <w:jc w:val="both"/>
        <w:rPr>
          <w:rFonts w:ascii="Arial Narrow" w:hAnsi="Arial Narrow"/>
        </w:rPr>
      </w:pPr>
      <w:r>
        <w:rPr>
          <w:rFonts w:ascii="Arial Narrow" w:hAnsi="Arial Narrow"/>
        </w:rPr>
        <w:t>Decrimina</w:t>
      </w:r>
      <w:r w:rsidR="00633FCB">
        <w:rPr>
          <w:rFonts w:ascii="Arial Narrow" w:hAnsi="Arial Narrow"/>
        </w:rPr>
        <w:t>lization of consumption</w:t>
      </w:r>
      <w:r>
        <w:rPr>
          <w:rFonts w:ascii="Arial Narrow" w:hAnsi="Arial Narrow"/>
        </w:rPr>
        <w:t xml:space="preserve"> deviates drug</w:t>
      </w:r>
      <w:r w:rsidR="00633FCB">
        <w:rPr>
          <w:rFonts w:ascii="Arial Narrow" w:hAnsi="Arial Narrow"/>
        </w:rPr>
        <w:t xml:space="preserve"> users from the criminal justice</w:t>
      </w:r>
      <w:r>
        <w:rPr>
          <w:rFonts w:ascii="Arial Narrow" w:hAnsi="Arial Narrow"/>
        </w:rPr>
        <w:t xml:space="preserve"> system, sparing them t</w:t>
      </w:r>
      <w:r w:rsidR="00633FCB">
        <w:rPr>
          <w:rFonts w:ascii="Arial Narrow" w:hAnsi="Arial Narrow"/>
        </w:rPr>
        <w:t xml:space="preserve">he stigmas associated with its sentences. </w:t>
      </w:r>
      <w:r w:rsidR="00E039FB">
        <w:rPr>
          <w:rFonts w:ascii="Arial Narrow" w:hAnsi="Arial Narrow"/>
        </w:rPr>
        <w:t>B</w:t>
      </w:r>
      <w:r w:rsidR="00E039FB" w:rsidRPr="00E039FB">
        <w:rPr>
          <w:rFonts w:ascii="Arial Narrow" w:hAnsi="Arial Narrow"/>
        </w:rPr>
        <w:t>ased on the “rather treat than to punish” principle</w:t>
      </w:r>
      <w:r w:rsidR="00E039FB">
        <w:rPr>
          <w:rFonts w:ascii="Arial Narrow" w:hAnsi="Arial Narrow"/>
        </w:rPr>
        <w:t>, o</w:t>
      </w:r>
      <w:r w:rsidR="00633FCB">
        <w:rPr>
          <w:rFonts w:ascii="Arial Narrow" w:hAnsi="Arial Narrow"/>
        </w:rPr>
        <w:t xml:space="preserve">ffenders, as </w:t>
      </w:r>
      <w:r w:rsidR="00A64499">
        <w:rPr>
          <w:rFonts w:ascii="Arial Narrow" w:hAnsi="Arial Narrow"/>
        </w:rPr>
        <w:t>possession</w:t>
      </w:r>
      <w:r w:rsidR="00633FCB">
        <w:rPr>
          <w:rFonts w:ascii="Arial Narrow" w:hAnsi="Arial Narrow"/>
        </w:rPr>
        <w:t xml:space="preserve"> and consumption continue to be illegal, </w:t>
      </w:r>
      <w:r w:rsidR="001E1BFA">
        <w:rPr>
          <w:rFonts w:ascii="Arial Narrow" w:hAnsi="Arial Narrow"/>
        </w:rPr>
        <w:t xml:space="preserve">are channelled </w:t>
      </w:r>
      <w:r w:rsidR="00CC7BB5">
        <w:rPr>
          <w:rFonts w:ascii="Arial Narrow" w:hAnsi="Arial Narrow"/>
        </w:rPr>
        <w:t xml:space="preserve">by the competent authorities </w:t>
      </w:r>
      <w:r w:rsidR="001E1BFA">
        <w:rPr>
          <w:rFonts w:ascii="Arial Narrow" w:hAnsi="Arial Narrow"/>
        </w:rPr>
        <w:t xml:space="preserve">through a system </w:t>
      </w:r>
      <w:r w:rsidR="00CC7BB5">
        <w:rPr>
          <w:rFonts w:ascii="Arial Narrow" w:hAnsi="Arial Narrow"/>
        </w:rPr>
        <w:t>which puts them in touch with specialized support services, be they health services, social services, educational services or employment services.</w:t>
      </w:r>
    </w:p>
    <w:p w:rsidR="00CC7BB5" w:rsidRDefault="00CC7BB5" w:rsidP="00E86DC5">
      <w:pPr>
        <w:jc w:val="both"/>
        <w:rPr>
          <w:rFonts w:ascii="Arial Narrow" w:hAnsi="Arial Narrow"/>
        </w:rPr>
      </w:pPr>
      <w:r>
        <w:rPr>
          <w:rFonts w:ascii="Arial Narrow" w:hAnsi="Arial Narrow"/>
        </w:rPr>
        <w:t>The CDTs are mediation platforms</w:t>
      </w:r>
      <w:r w:rsidR="00E706D7">
        <w:rPr>
          <w:rFonts w:ascii="Arial Narrow" w:hAnsi="Arial Narrow"/>
        </w:rPr>
        <w:t>, departments of the Ministry of Health,</w:t>
      </w:r>
      <w:r>
        <w:rPr>
          <w:rFonts w:ascii="Arial Narrow" w:hAnsi="Arial Narrow"/>
        </w:rPr>
        <w:t xml:space="preserve"> established at the local level </w:t>
      </w:r>
      <w:r w:rsidR="00294734">
        <w:rPr>
          <w:rFonts w:ascii="Arial Narrow" w:hAnsi="Arial Narrow"/>
        </w:rPr>
        <w:t>to determine the degree</w:t>
      </w:r>
      <w:r>
        <w:rPr>
          <w:rFonts w:ascii="Arial Narrow" w:hAnsi="Arial Narrow"/>
        </w:rPr>
        <w:t xml:space="preserve"> of need and type of services indicated for each drug user sent to them by the enforcement authorities, be they the police or the courts</w:t>
      </w:r>
      <w:r w:rsidR="00E706D7">
        <w:rPr>
          <w:rFonts w:ascii="Arial Narrow" w:hAnsi="Arial Narrow"/>
        </w:rPr>
        <w:t>. They offer advice based on an evaluative process that permits them to have some idea as to whether the individual is a recreational, at risk or problematic user,</w:t>
      </w:r>
      <w:r w:rsidR="008B360C">
        <w:rPr>
          <w:rFonts w:ascii="Arial Narrow" w:hAnsi="Arial Narrow"/>
        </w:rPr>
        <w:t xml:space="preserve"> and direct those who may need</w:t>
      </w:r>
      <w:r w:rsidR="00E706D7">
        <w:rPr>
          <w:rFonts w:ascii="Arial Narrow" w:hAnsi="Arial Narrow"/>
        </w:rPr>
        <w:t xml:space="preserve"> it to a variety of services with which</w:t>
      </w:r>
      <w:r w:rsidR="006A2797">
        <w:rPr>
          <w:rFonts w:ascii="Arial Narrow" w:hAnsi="Arial Narrow"/>
        </w:rPr>
        <w:t xml:space="preserve"> each CDT</w:t>
      </w:r>
      <w:r w:rsidR="00E706D7">
        <w:rPr>
          <w:rFonts w:ascii="Arial Narrow" w:hAnsi="Arial Narrow"/>
        </w:rPr>
        <w:t xml:space="preserve"> develops partnerships and protocols </w:t>
      </w:r>
      <w:r w:rsidR="005A262F">
        <w:rPr>
          <w:rFonts w:ascii="Arial Narrow" w:hAnsi="Arial Narrow"/>
        </w:rPr>
        <w:t>in an effort</w:t>
      </w:r>
      <w:r w:rsidR="006A2797">
        <w:rPr>
          <w:rFonts w:ascii="Arial Narrow" w:hAnsi="Arial Narrow"/>
        </w:rPr>
        <w:t xml:space="preserve"> to mobilize any local community resources that may contribute to their dissuasive and preventive purpose</w:t>
      </w:r>
      <w:r w:rsidR="003E372A">
        <w:rPr>
          <w:rFonts w:ascii="Arial Narrow" w:hAnsi="Arial Narrow"/>
        </w:rPr>
        <w:t>. They are a response based on offering options and empowering</w:t>
      </w:r>
      <w:r w:rsidR="006A2797">
        <w:rPr>
          <w:rFonts w:ascii="Arial Narrow" w:hAnsi="Arial Narrow"/>
        </w:rPr>
        <w:t xml:space="preserve"> the individual</w:t>
      </w:r>
      <w:r w:rsidR="00E039FB">
        <w:rPr>
          <w:rFonts w:ascii="Arial Narrow" w:hAnsi="Arial Narrow"/>
        </w:rPr>
        <w:t>.</w:t>
      </w:r>
    </w:p>
    <w:p w:rsidR="00E039FB" w:rsidRDefault="001A24AB" w:rsidP="00E86DC5">
      <w:pPr>
        <w:jc w:val="both"/>
        <w:rPr>
          <w:rFonts w:ascii="Arial Narrow" w:hAnsi="Arial Narrow"/>
        </w:rPr>
      </w:pPr>
      <w:r>
        <w:rPr>
          <w:rFonts w:ascii="Arial Narrow" w:hAnsi="Arial Narrow"/>
        </w:rPr>
        <w:lastRenderedPageBreak/>
        <w:t>There are 18 CDTs, one per capital of district, covering the wh</w:t>
      </w:r>
      <w:r w:rsidR="007B1A89">
        <w:rPr>
          <w:rFonts w:ascii="Arial Narrow" w:hAnsi="Arial Narrow"/>
        </w:rPr>
        <w:t>ole of mainland Portugal and</w:t>
      </w:r>
      <w:r>
        <w:rPr>
          <w:rFonts w:ascii="Arial Narrow" w:hAnsi="Arial Narrow"/>
        </w:rPr>
        <w:t xml:space="preserve"> Autonomous Regions of Acores and Madeira.</w:t>
      </w:r>
      <w:r w:rsidR="00644E4B">
        <w:rPr>
          <w:rFonts w:ascii="Arial Narrow" w:hAnsi="Arial Narrow"/>
        </w:rPr>
        <w:t xml:space="preserve"> Each Commission is made up of three members (in practice many have only two) nominated by the Ministries of Health and Justice. It is the responsibility of these commission members to apply the law, based on the principles of promoting health and dissuading consumption. Each Commission is also supported by a multidisciplinary team of technicians, such as clinical psychologists, social workers, lawyers, sociologists, administrators, etc., who are responsible for all the preparatory</w:t>
      </w:r>
      <w:r w:rsidR="007B1A89">
        <w:rPr>
          <w:rFonts w:ascii="Arial Narrow" w:hAnsi="Arial Narrow"/>
        </w:rPr>
        <w:t xml:space="preserve"> work – making a detailed psychological evaluation of the individual, collecting an history of use and underlying motivational factors, evaluate motivation for particular models of specialized follow-up, facilitate links with</w:t>
      </w:r>
      <w:r w:rsidR="00644E4B">
        <w:rPr>
          <w:rFonts w:ascii="Arial Narrow" w:hAnsi="Arial Narrow"/>
        </w:rPr>
        <w:t xml:space="preserve"> </w:t>
      </w:r>
      <w:r w:rsidR="007B1A89">
        <w:rPr>
          <w:rFonts w:ascii="Arial Narrow" w:hAnsi="Arial Narrow"/>
        </w:rPr>
        <w:t xml:space="preserve">appropriate support structures, offer preventive instruction tailored to the individual’s particular circumstances – </w:t>
      </w:r>
      <w:r w:rsidR="00644E4B">
        <w:rPr>
          <w:rFonts w:ascii="Arial Narrow" w:hAnsi="Arial Narrow"/>
        </w:rPr>
        <w:t>leading to the Commission’s decision</w:t>
      </w:r>
      <w:r w:rsidR="007B1A89">
        <w:rPr>
          <w:rFonts w:ascii="Arial Narrow" w:hAnsi="Arial Narrow"/>
        </w:rPr>
        <w:t>.</w:t>
      </w:r>
    </w:p>
    <w:p w:rsidR="000E2F42" w:rsidRDefault="000E2F42" w:rsidP="00E86DC5">
      <w:pPr>
        <w:jc w:val="both"/>
        <w:rPr>
          <w:rFonts w:ascii="Arial Narrow" w:hAnsi="Arial Narrow"/>
        </w:rPr>
      </w:pPr>
      <w:r>
        <w:rPr>
          <w:rFonts w:ascii="Arial Narrow" w:hAnsi="Arial Narrow"/>
        </w:rPr>
        <w:t>Most people are directed to the CDTs by the police forces. When encountering individuals in possession or consuming illicit drugs, the police must issue a summons</w:t>
      </w:r>
      <w:r w:rsidR="00B81758">
        <w:rPr>
          <w:rFonts w:ascii="Arial Narrow" w:hAnsi="Arial Narrow"/>
        </w:rPr>
        <w:t xml:space="preserve">, for no more </w:t>
      </w:r>
      <w:r w:rsidR="008F1396">
        <w:rPr>
          <w:rFonts w:ascii="Arial Narrow" w:hAnsi="Arial Narrow"/>
        </w:rPr>
        <w:t>than 72 hours from its issuance.</w:t>
      </w:r>
      <w:r>
        <w:rPr>
          <w:rFonts w:ascii="Arial Narrow" w:hAnsi="Arial Narrow"/>
        </w:rPr>
        <w:t xml:space="preserve"> With each summons the officers must also elaborate a report</w:t>
      </w:r>
      <w:r w:rsidR="00B81758">
        <w:rPr>
          <w:rFonts w:ascii="Arial Narrow" w:hAnsi="Arial Narrow"/>
        </w:rPr>
        <w:t>, to be</w:t>
      </w:r>
      <w:r>
        <w:rPr>
          <w:rFonts w:ascii="Arial Narrow" w:hAnsi="Arial Narrow"/>
        </w:rPr>
        <w:t xml:space="preserve"> forwarded to the nearest </w:t>
      </w:r>
      <w:r w:rsidR="00B81758">
        <w:rPr>
          <w:rFonts w:ascii="Arial Narrow" w:hAnsi="Arial Narrow"/>
        </w:rPr>
        <w:t>CDT, containing all the relevant information pertaining to the facts of the contact with the individual, type of drug, amount, observations, etc.</w:t>
      </w:r>
      <w:r w:rsidR="00BE62B4">
        <w:rPr>
          <w:rFonts w:ascii="Arial Narrow" w:hAnsi="Arial Narrow"/>
        </w:rPr>
        <w:t xml:space="preserve"> </w:t>
      </w:r>
      <w:r w:rsidR="00BE62B4" w:rsidRPr="00BE62B4">
        <w:rPr>
          <w:rFonts w:ascii="Arial Narrow" w:hAnsi="Arial Narrow"/>
          <w:b/>
        </w:rPr>
        <w:t>But in what is a true alternative to prison</w:t>
      </w:r>
      <w:r w:rsidR="00BE62B4">
        <w:rPr>
          <w:rFonts w:ascii="Arial Narrow" w:hAnsi="Arial Narrow"/>
          <w:b/>
        </w:rPr>
        <w:t xml:space="preserve">, the Commissions also receive a number of individuals sent to them by the </w:t>
      </w:r>
      <w:r w:rsidR="00DC5542">
        <w:rPr>
          <w:rFonts w:ascii="Arial Narrow" w:hAnsi="Arial Narrow"/>
          <w:b/>
        </w:rPr>
        <w:t>Public Prosecutor</w:t>
      </w:r>
      <w:r w:rsidR="00937599">
        <w:rPr>
          <w:rFonts w:ascii="Arial Narrow" w:hAnsi="Arial Narrow"/>
          <w:b/>
        </w:rPr>
        <w:t>’</w:t>
      </w:r>
      <w:r w:rsidR="00DC5542">
        <w:rPr>
          <w:rFonts w:ascii="Arial Narrow" w:hAnsi="Arial Narrow"/>
          <w:b/>
        </w:rPr>
        <w:t xml:space="preserve">s </w:t>
      </w:r>
      <w:r w:rsidR="00937599">
        <w:rPr>
          <w:rFonts w:ascii="Arial Narrow" w:hAnsi="Arial Narrow"/>
          <w:b/>
        </w:rPr>
        <w:t>Office</w:t>
      </w:r>
      <w:r w:rsidR="00B85FFD">
        <w:rPr>
          <w:rFonts w:ascii="Arial Narrow" w:hAnsi="Arial Narrow"/>
          <w:b/>
        </w:rPr>
        <w:t xml:space="preserve"> (</w:t>
      </w:r>
      <w:proofErr w:type="spellStart"/>
      <w:r w:rsidR="00B85FFD" w:rsidRPr="00B85FFD">
        <w:rPr>
          <w:rFonts w:ascii="Arial Narrow" w:hAnsi="Arial Narrow"/>
          <w:b/>
        </w:rPr>
        <w:t>Ministério</w:t>
      </w:r>
      <w:proofErr w:type="spellEnd"/>
      <w:r w:rsidR="00B85FFD" w:rsidRPr="00B85FFD">
        <w:rPr>
          <w:rFonts w:ascii="Arial Narrow" w:hAnsi="Arial Narrow"/>
          <w:b/>
        </w:rPr>
        <w:t xml:space="preserve"> </w:t>
      </w:r>
      <w:proofErr w:type="spellStart"/>
      <w:r w:rsidR="00B85FFD" w:rsidRPr="00B85FFD">
        <w:rPr>
          <w:rFonts w:ascii="Arial Narrow" w:hAnsi="Arial Narrow"/>
          <w:b/>
        </w:rPr>
        <w:t>Público</w:t>
      </w:r>
      <w:proofErr w:type="spellEnd"/>
      <w:r w:rsidR="00B85FFD">
        <w:rPr>
          <w:rFonts w:ascii="Arial Narrow" w:hAnsi="Arial Narrow"/>
          <w:b/>
        </w:rPr>
        <w:t>)</w:t>
      </w:r>
      <w:r w:rsidR="00937599">
        <w:rPr>
          <w:rFonts w:ascii="Arial Narrow" w:hAnsi="Arial Narrow"/>
          <w:b/>
        </w:rPr>
        <w:t xml:space="preserve"> </w:t>
      </w:r>
      <w:r w:rsidR="00DC5542">
        <w:rPr>
          <w:rFonts w:ascii="Arial Narrow" w:hAnsi="Arial Narrow"/>
          <w:b/>
        </w:rPr>
        <w:t xml:space="preserve">or the </w:t>
      </w:r>
      <w:r w:rsidR="00BE62B4">
        <w:rPr>
          <w:rFonts w:ascii="Arial Narrow" w:hAnsi="Arial Narrow"/>
          <w:b/>
        </w:rPr>
        <w:t>criminal courts</w:t>
      </w:r>
      <w:r w:rsidR="001E46CB" w:rsidRPr="00397573">
        <w:rPr>
          <w:rFonts w:ascii="Arial Narrow" w:hAnsi="Arial Narrow"/>
          <w:b/>
        </w:rPr>
        <w:t xml:space="preserve">. This </w:t>
      </w:r>
      <w:r w:rsidR="007951A7" w:rsidRPr="00397573">
        <w:rPr>
          <w:rFonts w:ascii="Arial Narrow" w:hAnsi="Arial Narrow"/>
          <w:b/>
        </w:rPr>
        <w:t xml:space="preserve">generally </w:t>
      </w:r>
      <w:r w:rsidR="001E46CB" w:rsidRPr="00397573">
        <w:rPr>
          <w:rFonts w:ascii="Arial Narrow" w:hAnsi="Arial Narrow"/>
          <w:b/>
        </w:rPr>
        <w:t>happens in cases where the individuals</w:t>
      </w:r>
      <w:r w:rsidR="00BE62B4" w:rsidRPr="00397573">
        <w:rPr>
          <w:rFonts w:ascii="Arial Narrow" w:hAnsi="Arial Narrow"/>
          <w:b/>
        </w:rPr>
        <w:t xml:space="preserve"> are found by the police with more than the amount of the relevant drug allowed by the “law of decriminalization</w:t>
      </w:r>
      <w:r w:rsidR="001E46CB" w:rsidRPr="00397573">
        <w:rPr>
          <w:rFonts w:ascii="Arial Narrow" w:hAnsi="Arial Narrow"/>
          <w:b/>
        </w:rPr>
        <w:t>,</w:t>
      </w:r>
      <w:r w:rsidR="00BE62B4" w:rsidRPr="00397573">
        <w:rPr>
          <w:rFonts w:ascii="Arial Narrow" w:hAnsi="Arial Narrow"/>
          <w:b/>
        </w:rPr>
        <w:t>”</w:t>
      </w:r>
      <w:r w:rsidRPr="00397573">
        <w:rPr>
          <w:rFonts w:ascii="Arial Narrow" w:hAnsi="Arial Narrow"/>
          <w:b/>
        </w:rPr>
        <w:t xml:space="preserve"> </w:t>
      </w:r>
      <w:r w:rsidR="001E46CB" w:rsidRPr="00397573">
        <w:rPr>
          <w:rFonts w:ascii="Arial Narrow" w:hAnsi="Arial Narrow"/>
          <w:b/>
        </w:rPr>
        <w:t>and therefore having committed a crime, but the</w:t>
      </w:r>
      <w:r w:rsidR="00DC5542" w:rsidRPr="00397573">
        <w:rPr>
          <w:rFonts w:ascii="Arial Narrow" w:hAnsi="Arial Narrow"/>
          <w:b/>
        </w:rPr>
        <w:t xml:space="preserve"> Prosecutors’ Office</w:t>
      </w:r>
      <w:r w:rsidR="001E46CB" w:rsidRPr="00397573">
        <w:rPr>
          <w:rFonts w:ascii="Arial Narrow" w:hAnsi="Arial Narrow"/>
          <w:b/>
        </w:rPr>
        <w:t xml:space="preserve"> </w:t>
      </w:r>
      <w:r w:rsidR="00DC5542" w:rsidRPr="00397573">
        <w:rPr>
          <w:rFonts w:ascii="Arial Narrow" w:hAnsi="Arial Narrow"/>
          <w:b/>
        </w:rPr>
        <w:t xml:space="preserve">or the </w:t>
      </w:r>
      <w:r w:rsidR="001E46CB" w:rsidRPr="00397573">
        <w:rPr>
          <w:rFonts w:ascii="Arial Narrow" w:hAnsi="Arial Narrow"/>
          <w:b/>
        </w:rPr>
        <w:t>Court decides that the public interest is better served by the dismissal of the criminal case and the redirecting of the individual to the public health system (i.e. CDTs)</w:t>
      </w:r>
      <w:r w:rsidR="007951A7" w:rsidRPr="00397573">
        <w:rPr>
          <w:rFonts w:ascii="Arial Narrow" w:hAnsi="Arial Narrow"/>
          <w:b/>
        </w:rPr>
        <w:t xml:space="preserve"> (it can</w:t>
      </w:r>
      <w:r w:rsidR="009B773E" w:rsidRPr="00397573">
        <w:rPr>
          <w:rFonts w:ascii="Arial Narrow" w:hAnsi="Arial Narrow"/>
          <w:b/>
        </w:rPr>
        <w:t xml:space="preserve"> also happen, and here there is a lot of room for this alternative to expand,</w:t>
      </w:r>
      <w:r w:rsidR="007951A7" w:rsidRPr="00397573">
        <w:rPr>
          <w:rFonts w:ascii="Arial Narrow" w:hAnsi="Arial Narrow"/>
          <w:b/>
        </w:rPr>
        <w:t xml:space="preserve"> in cases where the crime was some other offence brought on by drug use)</w:t>
      </w:r>
      <w:r w:rsidR="00DC5542" w:rsidRPr="00397573">
        <w:rPr>
          <w:rFonts w:ascii="Arial Narrow" w:hAnsi="Arial Narrow"/>
          <w:b/>
        </w:rPr>
        <w:t>.</w:t>
      </w:r>
      <w:bookmarkStart w:id="0" w:name="_GoBack"/>
      <w:bookmarkEnd w:id="0"/>
      <w:r w:rsidR="00DC5542">
        <w:rPr>
          <w:rFonts w:ascii="Arial Narrow" w:hAnsi="Arial Narrow"/>
          <w:b/>
        </w:rPr>
        <w:t xml:space="preserve"> </w:t>
      </w:r>
      <w:r w:rsidR="00937599" w:rsidRPr="00937599">
        <w:rPr>
          <w:rFonts w:ascii="Arial Narrow" w:hAnsi="Arial Narrow"/>
        </w:rPr>
        <w:t xml:space="preserve">Between </w:t>
      </w:r>
      <w:r w:rsidR="00937599">
        <w:rPr>
          <w:rFonts w:ascii="Arial Narrow" w:hAnsi="Arial Narrow"/>
        </w:rPr>
        <w:t>2010 and 2013, the CDTs received on average 7,879 cases per year, of which 1,172 (14.9%) were sent to them by the Public Prosecutor’s Office or the courts.</w:t>
      </w:r>
    </w:p>
    <w:p w:rsidR="00C4611A" w:rsidRDefault="00937599" w:rsidP="00C4611A">
      <w:pPr>
        <w:jc w:val="both"/>
        <w:rPr>
          <w:rFonts w:ascii="Arial Narrow" w:hAnsi="Arial Narrow"/>
        </w:rPr>
      </w:pPr>
      <w:r>
        <w:rPr>
          <w:rFonts w:ascii="Arial Narrow" w:hAnsi="Arial Narrow"/>
        </w:rPr>
        <w:t>The CDTs intervention method is based on</w:t>
      </w:r>
      <w:r w:rsidR="00C4611A">
        <w:rPr>
          <w:rFonts w:ascii="Arial Narrow" w:hAnsi="Arial Narrow"/>
        </w:rPr>
        <w:t xml:space="preserve"> using</w:t>
      </w:r>
      <w:r>
        <w:rPr>
          <w:rFonts w:ascii="Arial Narrow" w:hAnsi="Arial Narrow"/>
        </w:rPr>
        <w:t xml:space="preserve"> the evaluation and motivation of drug users </w:t>
      </w:r>
      <w:r w:rsidR="00C4611A">
        <w:rPr>
          <w:rFonts w:ascii="Arial Narrow" w:hAnsi="Arial Narrow"/>
        </w:rPr>
        <w:t>to incentivise</w:t>
      </w:r>
      <w:r>
        <w:rPr>
          <w:rFonts w:ascii="Arial Narrow" w:hAnsi="Arial Narrow"/>
        </w:rPr>
        <w:t xml:space="preserve"> behaviour modification </w:t>
      </w:r>
      <w:r w:rsidR="00C4611A">
        <w:rPr>
          <w:rFonts w:ascii="Arial Narrow" w:hAnsi="Arial Narrow"/>
        </w:rPr>
        <w:t>processes,</w:t>
      </w:r>
      <w:r>
        <w:rPr>
          <w:rFonts w:ascii="Arial Narrow" w:hAnsi="Arial Narrow"/>
        </w:rPr>
        <w:t xml:space="preserve"> di</w:t>
      </w:r>
      <w:r w:rsidR="00C4611A">
        <w:rPr>
          <w:rFonts w:ascii="Arial Narrow" w:hAnsi="Arial Narrow"/>
        </w:rPr>
        <w:t>ssuasion from consumption, health promotion, improvement of quality of life and engagement with specialized prevention support systems both for treatment and social integration. There are three phases of intervention:</w:t>
      </w:r>
    </w:p>
    <w:p w:rsidR="00C4611A" w:rsidRDefault="008E0DD1" w:rsidP="002E11AF">
      <w:pPr>
        <w:pStyle w:val="PargrafodaLista"/>
        <w:numPr>
          <w:ilvl w:val="0"/>
          <w:numId w:val="2"/>
        </w:numPr>
        <w:jc w:val="both"/>
        <w:rPr>
          <w:rFonts w:ascii="Arial Narrow" w:hAnsi="Arial Narrow"/>
        </w:rPr>
      </w:pPr>
      <w:r>
        <w:rPr>
          <w:rFonts w:ascii="Arial Narrow" w:hAnsi="Arial Narrow"/>
        </w:rPr>
        <w:t>Evaluation of the individual: through a semi-structure</w:t>
      </w:r>
      <w:r w:rsidR="002E11AF">
        <w:rPr>
          <w:rFonts w:ascii="Arial Narrow" w:hAnsi="Arial Narrow"/>
        </w:rPr>
        <w:t>d</w:t>
      </w:r>
      <w:r>
        <w:rPr>
          <w:rFonts w:ascii="Arial Narrow" w:hAnsi="Arial Narrow"/>
        </w:rPr>
        <w:t xml:space="preserve"> interview and collection of case history, evaluation of motivation,</w:t>
      </w:r>
      <w:r w:rsidR="002E11AF">
        <w:rPr>
          <w:rFonts w:ascii="Arial Narrow" w:hAnsi="Arial Narrow"/>
        </w:rPr>
        <w:t xml:space="preserve"> and</w:t>
      </w:r>
      <w:r>
        <w:rPr>
          <w:rFonts w:ascii="Arial Narrow" w:hAnsi="Arial Narrow"/>
        </w:rPr>
        <w:t xml:space="preserve"> evaluation of consumption risk </w:t>
      </w:r>
      <w:r w:rsidR="00AD0117">
        <w:rPr>
          <w:rFonts w:ascii="Arial Narrow" w:hAnsi="Arial Narrow"/>
        </w:rPr>
        <w:t>(involving, in part, the application of the</w:t>
      </w:r>
      <w:r w:rsidR="002E11AF">
        <w:rPr>
          <w:rFonts w:ascii="Arial Narrow" w:hAnsi="Arial Narrow"/>
        </w:rPr>
        <w:t xml:space="preserve"> ASIST –</w:t>
      </w:r>
      <w:r w:rsidR="002E11AF" w:rsidRPr="002E11AF">
        <w:t xml:space="preserve"> </w:t>
      </w:r>
      <w:r w:rsidR="002E11AF" w:rsidRPr="002E11AF">
        <w:rPr>
          <w:rFonts w:ascii="Arial Narrow" w:hAnsi="Arial Narrow"/>
        </w:rPr>
        <w:t>Alcohol, Smoking and Substance Invol</w:t>
      </w:r>
      <w:r w:rsidR="002E11AF">
        <w:rPr>
          <w:rFonts w:ascii="Arial Narrow" w:hAnsi="Arial Narrow"/>
        </w:rPr>
        <w:t>vement Screening Test) based on prior level of consumption which can be considered either low, moderate or high;</w:t>
      </w:r>
    </w:p>
    <w:p w:rsidR="00C4611A" w:rsidRDefault="00C4611A" w:rsidP="00C4611A">
      <w:pPr>
        <w:pStyle w:val="PargrafodaLista"/>
        <w:ind w:left="1080"/>
        <w:jc w:val="both"/>
        <w:rPr>
          <w:rFonts w:ascii="Arial Narrow" w:hAnsi="Arial Narrow"/>
        </w:rPr>
      </w:pPr>
    </w:p>
    <w:p w:rsidR="00C4611A" w:rsidRDefault="00C4611A" w:rsidP="00C4611A">
      <w:pPr>
        <w:pStyle w:val="PargrafodaLista"/>
        <w:numPr>
          <w:ilvl w:val="0"/>
          <w:numId w:val="2"/>
        </w:numPr>
        <w:jc w:val="both"/>
        <w:rPr>
          <w:rFonts w:ascii="Arial Narrow" w:hAnsi="Arial Narrow"/>
        </w:rPr>
      </w:pPr>
      <w:r>
        <w:rPr>
          <w:rFonts w:ascii="Arial Narrow" w:hAnsi="Arial Narrow"/>
        </w:rPr>
        <w:t>Motivational intervention tailored to the individual;</w:t>
      </w:r>
    </w:p>
    <w:p w:rsidR="00C4611A" w:rsidRPr="00C4611A" w:rsidRDefault="00C4611A" w:rsidP="00C4611A">
      <w:pPr>
        <w:pStyle w:val="PargrafodaLista"/>
        <w:rPr>
          <w:rFonts w:ascii="Arial Narrow" w:hAnsi="Arial Narrow"/>
        </w:rPr>
      </w:pPr>
    </w:p>
    <w:p w:rsidR="00C4611A" w:rsidRDefault="008E0DD1" w:rsidP="00C4611A">
      <w:pPr>
        <w:pStyle w:val="PargrafodaLista"/>
        <w:numPr>
          <w:ilvl w:val="0"/>
          <w:numId w:val="2"/>
        </w:numPr>
        <w:jc w:val="both"/>
        <w:rPr>
          <w:rFonts w:ascii="Arial Narrow" w:hAnsi="Arial Narrow"/>
        </w:rPr>
      </w:pPr>
      <w:r>
        <w:rPr>
          <w:rFonts w:ascii="Arial Narrow" w:hAnsi="Arial Narrow"/>
        </w:rPr>
        <w:t>Re-evaluation</w:t>
      </w:r>
      <w:r w:rsidR="00C4611A">
        <w:rPr>
          <w:rFonts w:ascii="Arial Narrow" w:hAnsi="Arial Narrow"/>
        </w:rPr>
        <w:t xml:space="preserve"> and follow-up</w:t>
      </w:r>
      <w:r w:rsidR="002E11AF">
        <w:rPr>
          <w:rFonts w:ascii="Arial Narrow" w:hAnsi="Arial Narrow"/>
        </w:rPr>
        <w:t>.</w:t>
      </w:r>
    </w:p>
    <w:p w:rsidR="002E11AF" w:rsidRPr="002E11AF" w:rsidRDefault="002E11AF" w:rsidP="002E11AF">
      <w:pPr>
        <w:pStyle w:val="PargrafodaLista"/>
        <w:rPr>
          <w:rFonts w:ascii="Arial Narrow" w:hAnsi="Arial Narrow"/>
        </w:rPr>
      </w:pPr>
    </w:p>
    <w:p w:rsidR="002E11AF" w:rsidRDefault="0073417D" w:rsidP="002E11AF">
      <w:pPr>
        <w:jc w:val="both"/>
        <w:rPr>
          <w:rFonts w:ascii="Arial Narrow" w:hAnsi="Arial Narrow"/>
        </w:rPr>
      </w:pPr>
      <w:r>
        <w:rPr>
          <w:rFonts w:ascii="Arial Narrow" w:hAnsi="Arial Narrow"/>
        </w:rPr>
        <w:t xml:space="preserve">The first appearance before </w:t>
      </w:r>
      <w:r w:rsidRPr="008F1396">
        <w:rPr>
          <w:rFonts w:ascii="Arial Narrow" w:hAnsi="Arial Narrow"/>
        </w:rPr>
        <w:t>the Commission in any five year period</w:t>
      </w:r>
      <w:r>
        <w:rPr>
          <w:rFonts w:ascii="Arial Narrow" w:hAnsi="Arial Narrow"/>
        </w:rPr>
        <w:t xml:space="preserve"> never implies a sanction. </w:t>
      </w:r>
      <w:r w:rsidR="002E11AF">
        <w:rPr>
          <w:rFonts w:ascii="Arial Narrow" w:hAnsi="Arial Narrow"/>
        </w:rPr>
        <w:t xml:space="preserve">Consumers judged not dependent </w:t>
      </w:r>
      <w:r w:rsidR="00BA75A1">
        <w:rPr>
          <w:rFonts w:ascii="Arial Narrow" w:hAnsi="Arial Narrow"/>
        </w:rPr>
        <w:t>can be sanctioned with a civil fine (</w:t>
      </w:r>
      <w:proofErr w:type="spellStart"/>
      <w:r w:rsidR="00BA75A1">
        <w:rPr>
          <w:rFonts w:ascii="Arial Narrow" w:hAnsi="Arial Narrow"/>
        </w:rPr>
        <w:t>coima</w:t>
      </w:r>
      <w:proofErr w:type="spellEnd"/>
      <w:r w:rsidR="00BA75A1">
        <w:rPr>
          <w:rFonts w:ascii="Arial Narrow" w:hAnsi="Arial Narrow"/>
        </w:rPr>
        <w:t>)</w:t>
      </w:r>
      <w:r w:rsidR="0075383F">
        <w:rPr>
          <w:rFonts w:ascii="Arial Narrow" w:hAnsi="Arial Narrow"/>
        </w:rPr>
        <w:t xml:space="preserve"> if sent to the CDT more than once in five years, although typically a non</w:t>
      </w:r>
      <w:r w:rsidR="00D31215">
        <w:rPr>
          <w:rFonts w:ascii="Arial Narrow" w:hAnsi="Arial Narrow"/>
        </w:rPr>
        <w:t>-pecuniary sanction is applied</w:t>
      </w:r>
      <w:r w:rsidR="008F1396">
        <w:rPr>
          <w:rFonts w:ascii="Arial Narrow" w:hAnsi="Arial Narrow"/>
        </w:rPr>
        <w:t>.</w:t>
      </w:r>
      <w:r w:rsidR="00D31215">
        <w:rPr>
          <w:rFonts w:ascii="Arial Narrow" w:hAnsi="Arial Narrow"/>
        </w:rPr>
        <w:t xml:space="preserve"> Dependent consumers can never be subjected to a pecuniary sanction, regardless of how many times they may be referred to the CDT in any given period. In either case, sanctions</w:t>
      </w:r>
      <w:r>
        <w:rPr>
          <w:rFonts w:ascii="Arial Narrow" w:hAnsi="Arial Narrow"/>
        </w:rPr>
        <w:t>,</w:t>
      </w:r>
      <w:r w:rsidR="00D31215">
        <w:rPr>
          <w:rFonts w:ascii="Arial Narrow" w:hAnsi="Arial Narrow"/>
        </w:rPr>
        <w:t xml:space="preserve"> if applied, are so with the aim of meeting the evaluated needs of the individual. If the person does not voluntarily enrol in a program</w:t>
      </w:r>
      <w:r w:rsidR="00BE2D94">
        <w:rPr>
          <w:rFonts w:ascii="Arial Narrow" w:hAnsi="Arial Narrow"/>
        </w:rPr>
        <w:t>me</w:t>
      </w:r>
      <w:r w:rsidR="00D31215">
        <w:rPr>
          <w:rFonts w:ascii="Arial Narrow" w:hAnsi="Arial Narrow"/>
        </w:rPr>
        <w:t xml:space="preserve"> judged by the Commission to be appropriate for her/his particular case (there is always the option to refuse participation in any of the commission’s suggestions), the sanction impose</w:t>
      </w:r>
      <w:r>
        <w:rPr>
          <w:rFonts w:ascii="Arial Narrow" w:hAnsi="Arial Narrow"/>
        </w:rPr>
        <w:t>d</w:t>
      </w:r>
      <w:r w:rsidR="00D31215">
        <w:rPr>
          <w:rFonts w:ascii="Arial Narrow" w:hAnsi="Arial Narrow"/>
        </w:rPr>
        <w:t xml:space="preserve"> may be t</w:t>
      </w:r>
      <w:r w:rsidR="008F1396">
        <w:rPr>
          <w:rFonts w:ascii="Arial Narrow" w:hAnsi="Arial Narrow"/>
        </w:rPr>
        <w:t>he obligation to go to the location</w:t>
      </w:r>
      <w:r w:rsidR="00D31215">
        <w:rPr>
          <w:rFonts w:ascii="Arial Narrow" w:hAnsi="Arial Narrow"/>
        </w:rPr>
        <w:t xml:space="preserve"> of the recommended programme and sign in </w:t>
      </w:r>
      <w:r>
        <w:rPr>
          <w:rFonts w:ascii="Arial Narrow" w:hAnsi="Arial Narrow"/>
        </w:rPr>
        <w:t>once a week for a certain period of time. This strategy aims to bring the individual closer to services which s/he may eventually choose to take advantage of despite initial resistance. Although the sanctions</w:t>
      </w:r>
      <w:r w:rsidRPr="0073417D">
        <w:rPr>
          <w:rFonts w:ascii="Arial Narrow" w:hAnsi="Arial Narrow"/>
        </w:rPr>
        <w:t xml:space="preserve"> </w:t>
      </w:r>
      <w:r>
        <w:rPr>
          <w:rFonts w:ascii="Arial Narrow" w:hAnsi="Arial Narrow"/>
        </w:rPr>
        <w:t>applied, as</w:t>
      </w:r>
      <w:r w:rsidR="00D45298">
        <w:rPr>
          <w:rFonts w:ascii="Arial Narrow" w:hAnsi="Arial Narrow"/>
        </w:rPr>
        <w:t xml:space="preserve"> well as</w:t>
      </w:r>
      <w:r>
        <w:rPr>
          <w:rFonts w:ascii="Arial Narrow" w:hAnsi="Arial Narrow"/>
        </w:rPr>
        <w:t xml:space="preserve"> the programmes recommended</w:t>
      </w:r>
      <w:r w:rsidR="00D45298">
        <w:rPr>
          <w:rFonts w:ascii="Arial Narrow" w:hAnsi="Arial Narrow"/>
        </w:rPr>
        <w:t>, vary</w:t>
      </w:r>
      <w:r>
        <w:rPr>
          <w:rFonts w:ascii="Arial Narrow" w:hAnsi="Arial Narrow"/>
        </w:rPr>
        <w:t xml:space="preserve"> depending on the resources developed by each CDT, the law foresees </w:t>
      </w:r>
      <w:r w:rsidR="00BE2D94">
        <w:rPr>
          <w:rFonts w:ascii="Arial Narrow" w:hAnsi="Arial Narrow"/>
        </w:rPr>
        <w:t>the following:</w:t>
      </w:r>
      <w:r w:rsidR="007232E2">
        <w:rPr>
          <w:rFonts w:ascii="Arial Narrow" w:hAnsi="Arial Narrow"/>
        </w:rPr>
        <w:t xml:space="preserve"> Periodic checking in at the CDT or other location (ex. health clinic); admonition; community service; prohibition to </w:t>
      </w:r>
      <w:r w:rsidR="007232E2">
        <w:rPr>
          <w:rFonts w:ascii="Arial Narrow" w:hAnsi="Arial Narrow"/>
        </w:rPr>
        <w:lastRenderedPageBreak/>
        <w:t>frequent places or socialize with certain people; Imposed subsidy management; prohibition</w:t>
      </w:r>
      <w:r w:rsidR="00D45298">
        <w:rPr>
          <w:rFonts w:ascii="Arial Narrow" w:hAnsi="Arial Narrow"/>
        </w:rPr>
        <w:t>/revocation</w:t>
      </w:r>
      <w:r w:rsidR="007232E2">
        <w:rPr>
          <w:rFonts w:ascii="Arial Narrow" w:hAnsi="Arial Narrow"/>
        </w:rPr>
        <w:t xml:space="preserve"> of certain licences (ex. Hunting); fine</w:t>
      </w:r>
      <w:r w:rsidR="00E6468A">
        <w:rPr>
          <w:rFonts w:ascii="Arial Narrow" w:hAnsi="Arial Narrow"/>
        </w:rPr>
        <w:t xml:space="preserve">. </w:t>
      </w:r>
      <w:r w:rsidR="00BE2D94">
        <w:rPr>
          <w:rFonts w:ascii="Arial Narrow" w:hAnsi="Arial Narrow"/>
        </w:rPr>
        <w:t>In mos</w:t>
      </w:r>
      <w:r w:rsidR="00E6468A">
        <w:rPr>
          <w:rFonts w:ascii="Arial Narrow" w:hAnsi="Arial Narrow"/>
        </w:rPr>
        <w:t>t cases, after the initial appearance in front of the Commission</w:t>
      </w:r>
      <w:r w:rsidR="0077279A">
        <w:rPr>
          <w:rFonts w:ascii="Arial Narrow" w:hAnsi="Arial Narrow"/>
        </w:rPr>
        <w:t>, the case</w:t>
      </w:r>
      <w:r w:rsidR="00BE2D94">
        <w:rPr>
          <w:rFonts w:ascii="Arial Narrow" w:hAnsi="Arial Narrow"/>
        </w:rPr>
        <w:t xml:space="preserve"> is suspended for a period of time during which the individual is expected to comply with the recommendations of the Commission. At the end of that period a re-evaluation is conducted, and if the individual is deemed </w:t>
      </w:r>
      <w:r w:rsidR="0077279A">
        <w:rPr>
          <w:rFonts w:ascii="Arial Narrow" w:hAnsi="Arial Narrow"/>
        </w:rPr>
        <w:t>to be heading</w:t>
      </w:r>
      <w:r w:rsidR="00BE2D94">
        <w:rPr>
          <w:rFonts w:ascii="Arial Narrow" w:hAnsi="Arial Narrow"/>
        </w:rPr>
        <w:t xml:space="preserve"> in the right direction and/or has met the commission’s requirements </w:t>
      </w:r>
      <w:r w:rsidR="0077279A">
        <w:rPr>
          <w:rFonts w:ascii="Arial Narrow" w:hAnsi="Arial Narrow"/>
        </w:rPr>
        <w:t>and/or sanction the case</w:t>
      </w:r>
      <w:r w:rsidR="00BE2D94">
        <w:rPr>
          <w:rFonts w:ascii="Arial Narrow" w:hAnsi="Arial Narrow"/>
        </w:rPr>
        <w:t xml:space="preserve"> is archived.</w:t>
      </w:r>
      <w:r w:rsidR="00E6468A" w:rsidRPr="00E6468A">
        <w:rPr>
          <w:rFonts w:ascii="Arial Narrow" w:hAnsi="Arial Narrow"/>
        </w:rPr>
        <w:t xml:space="preserve"> </w:t>
      </w:r>
      <w:r w:rsidR="00E6468A">
        <w:rPr>
          <w:rFonts w:ascii="Arial Narrow" w:hAnsi="Arial Narrow"/>
        </w:rPr>
        <w:t xml:space="preserve">It is important to note that failure to comply with </w:t>
      </w:r>
      <w:r w:rsidR="00E6468A" w:rsidRPr="007232E2">
        <w:rPr>
          <w:rFonts w:ascii="Arial Narrow" w:hAnsi="Arial Narrow"/>
          <w:b/>
          <w:i/>
        </w:rPr>
        <w:t xml:space="preserve">any </w:t>
      </w:r>
      <w:r w:rsidR="00E6468A">
        <w:rPr>
          <w:rFonts w:ascii="Arial Narrow" w:hAnsi="Arial Narrow"/>
        </w:rPr>
        <w:t xml:space="preserve">recommendation and or sanction can never result in incarceration. </w:t>
      </w:r>
    </w:p>
    <w:p w:rsidR="00BE2D94" w:rsidRDefault="00F46A93" w:rsidP="002E11AF">
      <w:pPr>
        <w:jc w:val="both"/>
        <w:rPr>
          <w:rFonts w:ascii="Arial Narrow" w:hAnsi="Arial Narrow"/>
        </w:rPr>
      </w:pPr>
      <w:r>
        <w:rPr>
          <w:rFonts w:ascii="Arial Narrow" w:hAnsi="Arial Narrow"/>
        </w:rPr>
        <w:t>Among its many benefits, this alternative carries a much lower processing cost for the state. The 2013 estimated cost for processing the same case through the courts is 580€ to 800€, compared with 200€ to 390 € to processes it through the CDTs.</w:t>
      </w:r>
    </w:p>
    <w:p w:rsidR="00F46A93" w:rsidRDefault="00F46A93" w:rsidP="002E11AF">
      <w:pPr>
        <w:jc w:val="both"/>
        <w:rPr>
          <w:rFonts w:ascii="Arial Narrow" w:hAnsi="Arial Narrow"/>
        </w:rPr>
      </w:pPr>
      <w:r>
        <w:rPr>
          <w:rFonts w:ascii="Arial Narrow" w:hAnsi="Arial Narrow"/>
        </w:rPr>
        <w:t>SICAD and its CDTs have been the subject</w:t>
      </w:r>
      <w:r w:rsidR="00FB264B">
        <w:rPr>
          <w:rFonts w:ascii="Arial Narrow" w:hAnsi="Arial Narrow"/>
        </w:rPr>
        <w:t xml:space="preserve"> of a great deal of attention and</w:t>
      </w:r>
      <w:r>
        <w:rPr>
          <w:rFonts w:ascii="Arial Narrow" w:hAnsi="Arial Narrow"/>
        </w:rPr>
        <w:t xml:space="preserve"> various international studies</w:t>
      </w:r>
      <w:r w:rsidR="00FB264B">
        <w:rPr>
          <w:rFonts w:ascii="Arial Narrow" w:hAnsi="Arial Narrow"/>
        </w:rPr>
        <w:t xml:space="preserve"> as an example of a unique good practice in the “war on drugs”</w:t>
      </w:r>
      <w:r w:rsidR="00E21770">
        <w:rPr>
          <w:rFonts w:ascii="Arial Narrow" w:hAnsi="Arial Narrow"/>
        </w:rPr>
        <w:t xml:space="preserve"> (see </w:t>
      </w:r>
      <w:proofErr w:type="spellStart"/>
      <w:r w:rsidR="00C342D8">
        <w:rPr>
          <w:rFonts w:ascii="Arial Narrow" w:hAnsi="Arial Narrow"/>
        </w:rPr>
        <w:t>Silvestri</w:t>
      </w:r>
      <w:proofErr w:type="spellEnd"/>
      <w:r w:rsidR="00C342D8">
        <w:rPr>
          <w:rFonts w:ascii="Arial Narrow" w:hAnsi="Arial Narrow"/>
        </w:rPr>
        <w:t>, A. 2015,</w:t>
      </w:r>
      <w:r w:rsidR="00FB264B">
        <w:rPr>
          <w:rFonts w:ascii="Arial Narrow" w:hAnsi="Arial Narrow"/>
        </w:rPr>
        <w:t xml:space="preserve"> </w:t>
      </w:r>
      <w:r w:rsidR="00C342D8">
        <w:rPr>
          <w:rFonts w:ascii="Arial Narrow" w:hAnsi="Arial Narrow"/>
        </w:rPr>
        <w:t>Gateways From Crime t</w:t>
      </w:r>
      <w:r w:rsidR="00C342D8" w:rsidRPr="00C342D8">
        <w:rPr>
          <w:rFonts w:ascii="Arial Narrow" w:hAnsi="Arial Narrow"/>
        </w:rPr>
        <w:t>o Health: The Portuguese Drug Commissions</w:t>
      </w:r>
      <w:r w:rsidR="00C342D8">
        <w:rPr>
          <w:rFonts w:ascii="Arial Narrow" w:hAnsi="Arial Narrow"/>
        </w:rPr>
        <w:t xml:space="preserve">. London: WCMT and PRT). </w:t>
      </w:r>
      <w:r w:rsidR="00FB264B">
        <w:rPr>
          <w:rFonts w:ascii="Arial Narrow" w:hAnsi="Arial Narrow"/>
        </w:rPr>
        <w:t>The Portuguese approach is being considered in the preparatory discussions, at the UN, for the reform of prohibitionist policies.</w:t>
      </w:r>
    </w:p>
    <w:p w:rsidR="00C342D8" w:rsidRDefault="00C342D8" w:rsidP="002E11AF">
      <w:pPr>
        <w:jc w:val="both"/>
        <w:rPr>
          <w:rFonts w:ascii="Arial Narrow" w:hAnsi="Arial Narrow"/>
        </w:rPr>
      </w:pPr>
    </w:p>
    <w:p w:rsidR="00C342D8" w:rsidRPr="00C342D8" w:rsidRDefault="00C342D8" w:rsidP="002E11AF">
      <w:pPr>
        <w:jc w:val="both"/>
        <w:rPr>
          <w:rFonts w:ascii="Arial Narrow" w:hAnsi="Arial Narrow"/>
          <w:b/>
        </w:rPr>
      </w:pPr>
      <w:r w:rsidRPr="00C342D8">
        <w:rPr>
          <w:rFonts w:ascii="Arial Narrow" w:hAnsi="Arial Narrow"/>
          <w:b/>
        </w:rPr>
        <w:t>2.</w:t>
      </w:r>
      <w:r w:rsidRPr="00C342D8">
        <w:rPr>
          <w:rFonts w:ascii="Arial Narrow" w:hAnsi="Arial Narrow"/>
          <w:b/>
        </w:rPr>
        <w:tab/>
      </w:r>
      <w:proofErr w:type="spellStart"/>
      <w:r w:rsidRPr="00C342D8">
        <w:rPr>
          <w:rFonts w:ascii="Arial Narrow" w:hAnsi="Arial Narrow"/>
          <w:b/>
        </w:rPr>
        <w:t>Contigo</w:t>
      </w:r>
      <w:proofErr w:type="spellEnd"/>
      <w:r w:rsidR="00B7711F" w:rsidRPr="00B7711F">
        <w:rPr>
          <w:rFonts w:ascii="Arial Narrow" w:hAnsi="Arial Narrow"/>
          <w:b/>
        </w:rPr>
        <w:t xml:space="preserve"> </w:t>
      </w:r>
      <w:r w:rsidR="00B7711F" w:rsidRPr="00C342D8">
        <w:rPr>
          <w:rFonts w:ascii="Arial Narrow" w:hAnsi="Arial Narrow"/>
          <w:b/>
        </w:rPr>
        <w:t>Programme</w:t>
      </w:r>
    </w:p>
    <w:p w:rsidR="00C342D8" w:rsidRDefault="00B7711F" w:rsidP="00E86DC5">
      <w:pPr>
        <w:jc w:val="both"/>
        <w:rPr>
          <w:rFonts w:ascii="Arial Narrow" w:hAnsi="Arial Narrow"/>
        </w:rPr>
      </w:pPr>
      <w:r>
        <w:rPr>
          <w:rFonts w:ascii="Arial Narrow" w:hAnsi="Arial Narrow"/>
        </w:rPr>
        <w:t xml:space="preserve">The </w:t>
      </w:r>
      <w:proofErr w:type="spellStart"/>
      <w:r>
        <w:rPr>
          <w:rFonts w:ascii="Arial Narrow" w:hAnsi="Arial Narrow"/>
        </w:rPr>
        <w:t>Contigo</w:t>
      </w:r>
      <w:proofErr w:type="spellEnd"/>
      <w:r>
        <w:rPr>
          <w:rFonts w:ascii="Arial Narrow" w:hAnsi="Arial Narrow"/>
        </w:rPr>
        <w:t xml:space="preserve"> (with you) Programme is a psychosocial rehabilitation project for domestic violence perpetrators launched in Ponta Delgada, </w:t>
      </w:r>
      <w:proofErr w:type="spellStart"/>
      <w:r>
        <w:rPr>
          <w:rFonts w:ascii="Arial Narrow" w:hAnsi="Arial Narrow"/>
        </w:rPr>
        <w:t>Açores</w:t>
      </w:r>
      <w:proofErr w:type="spellEnd"/>
      <w:r>
        <w:rPr>
          <w:rFonts w:ascii="Arial Narrow" w:hAnsi="Arial Narrow"/>
        </w:rPr>
        <w:t>, in 2010 by the Support to Women in Vulnerable Situations Network (</w:t>
      </w:r>
      <w:proofErr w:type="spellStart"/>
      <w:r w:rsidRPr="00B7711F">
        <w:rPr>
          <w:rFonts w:ascii="Arial Narrow" w:hAnsi="Arial Narrow"/>
        </w:rPr>
        <w:t>Rede</w:t>
      </w:r>
      <w:proofErr w:type="spellEnd"/>
      <w:r w:rsidRPr="00B7711F">
        <w:rPr>
          <w:rFonts w:ascii="Arial Narrow" w:hAnsi="Arial Narrow"/>
        </w:rPr>
        <w:t xml:space="preserve"> de </w:t>
      </w:r>
      <w:proofErr w:type="spellStart"/>
      <w:r w:rsidRPr="00B7711F">
        <w:rPr>
          <w:rFonts w:ascii="Arial Narrow" w:hAnsi="Arial Narrow"/>
        </w:rPr>
        <w:t>Apoio</w:t>
      </w:r>
      <w:proofErr w:type="spellEnd"/>
      <w:r w:rsidRPr="00B7711F">
        <w:rPr>
          <w:rFonts w:ascii="Arial Narrow" w:hAnsi="Arial Narrow"/>
        </w:rPr>
        <w:t xml:space="preserve"> à </w:t>
      </w:r>
      <w:proofErr w:type="spellStart"/>
      <w:r w:rsidRPr="00B7711F">
        <w:rPr>
          <w:rFonts w:ascii="Arial Narrow" w:hAnsi="Arial Narrow"/>
        </w:rPr>
        <w:t>Mulher</w:t>
      </w:r>
      <w:proofErr w:type="spellEnd"/>
      <w:r w:rsidRPr="00B7711F">
        <w:rPr>
          <w:rFonts w:ascii="Arial Narrow" w:hAnsi="Arial Narrow"/>
        </w:rPr>
        <w:t xml:space="preserve"> </w:t>
      </w:r>
      <w:proofErr w:type="spellStart"/>
      <w:r w:rsidRPr="00B7711F">
        <w:rPr>
          <w:rFonts w:ascii="Arial Narrow" w:hAnsi="Arial Narrow"/>
        </w:rPr>
        <w:t>em</w:t>
      </w:r>
      <w:proofErr w:type="spellEnd"/>
      <w:r w:rsidRPr="00B7711F">
        <w:rPr>
          <w:rFonts w:ascii="Arial Narrow" w:hAnsi="Arial Narrow"/>
        </w:rPr>
        <w:t xml:space="preserve"> </w:t>
      </w:r>
      <w:proofErr w:type="spellStart"/>
      <w:r w:rsidRPr="00B7711F">
        <w:rPr>
          <w:rFonts w:ascii="Arial Narrow" w:hAnsi="Arial Narrow"/>
        </w:rPr>
        <w:t>Situação</w:t>
      </w:r>
      <w:proofErr w:type="spellEnd"/>
      <w:r w:rsidRPr="00B7711F">
        <w:rPr>
          <w:rFonts w:ascii="Arial Narrow" w:hAnsi="Arial Narrow"/>
        </w:rPr>
        <w:t xml:space="preserve"> de </w:t>
      </w:r>
      <w:proofErr w:type="spellStart"/>
      <w:r w:rsidRPr="00B7711F">
        <w:rPr>
          <w:rFonts w:ascii="Arial Narrow" w:hAnsi="Arial Narrow"/>
        </w:rPr>
        <w:t>Risco</w:t>
      </w:r>
      <w:proofErr w:type="spellEnd"/>
      <w:r>
        <w:rPr>
          <w:rFonts w:ascii="Arial Narrow" w:hAnsi="Arial Narrow"/>
        </w:rPr>
        <w:t xml:space="preserve">). In mainland Portugal, </w:t>
      </w:r>
      <w:r w:rsidR="006145CC">
        <w:rPr>
          <w:rFonts w:ascii="Arial Narrow" w:hAnsi="Arial Narrow"/>
        </w:rPr>
        <w:t xml:space="preserve">also in 2010, </w:t>
      </w:r>
      <w:proofErr w:type="spellStart"/>
      <w:r>
        <w:rPr>
          <w:rFonts w:ascii="Arial Narrow" w:hAnsi="Arial Narrow"/>
        </w:rPr>
        <w:t>Cascais</w:t>
      </w:r>
      <w:proofErr w:type="spellEnd"/>
      <w:r>
        <w:rPr>
          <w:rFonts w:ascii="Arial Narrow" w:hAnsi="Arial Narrow"/>
        </w:rPr>
        <w:t xml:space="preserve"> followed the same technical/scientific model </w:t>
      </w:r>
      <w:r w:rsidR="006145CC">
        <w:rPr>
          <w:rFonts w:ascii="Arial Narrow" w:hAnsi="Arial Narrow"/>
        </w:rPr>
        <w:t xml:space="preserve">to create the </w:t>
      </w:r>
      <w:proofErr w:type="spellStart"/>
      <w:r w:rsidR="006145CC">
        <w:rPr>
          <w:rFonts w:ascii="Arial Narrow" w:hAnsi="Arial Narrow"/>
        </w:rPr>
        <w:t>Contigo</w:t>
      </w:r>
      <w:proofErr w:type="spellEnd"/>
      <w:r w:rsidR="006145CC">
        <w:rPr>
          <w:rFonts w:ascii="Arial Narrow" w:hAnsi="Arial Narrow"/>
        </w:rPr>
        <w:t xml:space="preserve"> </w:t>
      </w:r>
      <w:proofErr w:type="spellStart"/>
      <w:r w:rsidR="006145CC">
        <w:rPr>
          <w:rFonts w:ascii="Arial Narrow" w:hAnsi="Arial Narrow"/>
        </w:rPr>
        <w:t>Cascais</w:t>
      </w:r>
      <w:proofErr w:type="spellEnd"/>
      <w:r w:rsidR="006145CC">
        <w:rPr>
          <w:rFonts w:ascii="Arial Narrow" w:hAnsi="Arial Narrow"/>
        </w:rPr>
        <w:t>. It was this latter programme that we had opportunity to research.</w:t>
      </w:r>
    </w:p>
    <w:p w:rsidR="004B0370" w:rsidRDefault="006145CC" w:rsidP="00E86DC5">
      <w:pPr>
        <w:jc w:val="both"/>
        <w:rPr>
          <w:rFonts w:ascii="Arial Narrow" w:hAnsi="Arial Narrow"/>
        </w:rPr>
      </w:pPr>
      <w:r>
        <w:rPr>
          <w:rFonts w:ascii="Arial Narrow" w:hAnsi="Arial Narrow"/>
        </w:rPr>
        <w:t xml:space="preserve">The </w:t>
      </w:r>
      <w:proofErr w:type="spellStart"/>
      <w:r>
        <w:rPr>
          <w:rFonts w:ascii="Arial Narrow" w:hAnsi="Arial Narrow"/>
        </w:rPr>
        <w:t>Contigo</w:t>
      </w:r>
      <w:proofErr w:type="spellEnd"/>
      <w:r>
        <w:rPr>
          <w:rFonts w:ascii="Arial Narrow" w:hAnsi="Arial Narrow"/>
        </w:rPr>
        <w:t xml:space="preserve"> </w:t>
      </w:r>
      <w:proofErr w:type="spellStart"/>
      <w:r>
        <w:rPr>
          <w:rFonts w:ascii="Arial Narrow" w:hAnsi="Arial Narrow"/>
        </w:rPr>
        <w:t>Cascais</w:t>
      </w:r>
      <w:proofErr w:type="spellEnd"/>
      <w:r>
        <w:rPr>
          <w:rFonts w:ascii="Arial Narrow" w:hAnsi="Arial Narrow"/>
        </w:rPr>
        <w:t xml:space="preserve"> Programme is based on a local inter-institutional network developed by the </w:t>
      </w:r>
      <w:proofErr w:type="spellStart"/>
      <w:r>
        <w:rPr>
          <w:rFonts w:ascii="Arial Narrow" w:hAnsi="Arial Narrow"/>
        </w:rPr>
        <w:t>Cascais</w:t>
      </w:r>
      <w:proofErr w:type="spellEnd"/>
      <w:r>
        <w:rPr>
          <w:rFonts w:ascii="Arial Narrow" w:hAnsi="Arial Narrow"/>
        </w:rPr>
        <w:t xml:space="preserve"> Municipal Forum </w:t>
      </w:r>
      <w:proofErr w:type="gramStart"/>
      <w:r>
        <w:rPr>
          <w:rFonts w:ascii="Arial Narrow" w:hAnsi="Arial Narrow"/>
        </w:rPr>
        <w:t>Against</w:t>
      </w:r>
      <w:proofErr w:type="gramEnd"/>
      <w:r>
        <w:rPr>
          <w:rFonts w:ascii="Arial Narrow" w:hAnsi="Arial Narrow"/>
        </w:rPr>
        <w:t xml:space="preserve"> Domestic Violence (</w:t>
      </w:r>
      <w:proofErr w:type="spellStart"/>
      <w:r w:rsidRPr="006145CC">
        <w:rPr>
          <w:rFonts w:ascii="Arial Narrow" w:hAnsi="Arial Narrow"/>
        </w:rPr>
        <w:t>Fórum</w:t>
      </w:r>
      <w:proofErr w:type="spellEnd"/>
      <w:r w:rsidRPr="006145CC">
        <w:rPr>
          <w:rFonts w:ascii="Arial Narrow" w:hAnsi="Arial Narrow"/>
        </w:rPr>
        <w:t xml:space="preserve"> Municipal de </w:t>
      </w:r>
      <w:proofErr w:type="spellStart"/>
      <w:r w:rsidRPr="006145CC">
        <w:rPr>
          <w:rFonts w:ascii="Arial Narrow" w:hAnsi="Arial Narrow"/>
        </w:rPr>
        <w:t>Cascais</w:t>
      </w:r>
      <w:proofErr w:type="spellEnd"/>
      <w:r w:rsidRPr="006145CC">
        <w:rPr>
          <w:rFonts w:ascii="Arial Narrow" w:hAnsi="Arial Narrow"/>
        </w:rPr>
        <w:t xml:space="preserve"> Contra a </w:t>
      </w:r>
      <w:proofErr w:type="spellStart"/>
      <w:r w:rsidRPr="006145CC">
        <w:rPr>
          <w:rFonts w:ascii="Arial Narrow" w:hAnsi="Arial Narrow"/>
        </w:rPr>
        <w:t>Violência</w:t>
      </w:r>
      <w:proofErr w:type="spellEnd"/>
      <w:r w:rsidRPr="006145CC">
        <w:rPr>
          <w:rFonts w:ascii="Arial Narrow" w:hAnsi="Arial Narrow"/>
        </w:rPr>
        <w:t xml:space="preserve"> </w:t>
      </w:r>
      <w:proofErr w:type="spellStart"/>
      <w:r w:rsidRPr="006145CC">
        <w:rPr>
          <w:rFonts w:ascii="Arial Narrow" w:hAnsi="Arial Narrow"/>
        </w:rPr>
        <w:t>Doméstica</w:t>
      </w:r>
      <w:proofErr w:type="spellEnd"/>
      <w:r>
        <w:rPr>
          <w:rFonts w:ascii="Arial Narrow" w:hAnsi="Arial Narrow"/>
        </w:rPr>
        <w:t xml:space="preserve">). It </w:t>
      </w:r>
      <w:proofErr w:type="spellStart"/>
      <w:r>
        <w:rPr>
          <w:rFonts w:ascii="Arial Narrow" w:hAnsi="Arial Narrow"/>
        </w:rPr>
        <w:t>consistes</w:t>
      </w:r>
      <w:proofErr w:type="spellEnd"/>
      <w:r>
        <w:rPr>
          <w:rFonts w:ascii="Arial Narrow" w:hAnsi="Arial Narrow"/>
        </w:rPr>
        <w:t xml:space="preserve"> of a partnership between </w:t>
      </w:r>
      <w:proofErr w:type="spellStart"/>
      <w:r>
        <w:rPr>
          <w:rFonts w:ascii="Arial Narrow" w:hAnsi="Arial Narrow"/>
        </w:rPr>
        <w:t>Cascais</w:t>
      </w:r>
      <w:proofErr w:type="spellEnd"/>
      <w:r>
        <w:rPr>
          <w:rFonts w:ascii="Arial Narrow" w:hAnsi="Arial Narrow"/>
        </w:rPr>
        <w:t xml:space="preserve"> Municipal Authority (</w:t>
      </w:r>
      <w:proofErr w:type="spellStart"/>
      <w:r w:rsidRPr="006145CC">
        <w:rPr>
          <w:rFonts w:ascii="Arial Narrow" w:hAnsi="Arial Narrow"/>
        </w:rPr>
        <w:t>Câmara</w:t>
      </w:r>
      <w:proofErr w:type="spellEnd"/>
      <w:r w:rsidRPr="006145CC">
        <w:rPr>
          <w:rFonts w:ascii="Arial Narrow" w:hAnsi="Arial Narrow"/>
        </w:rPr>
        <w:t xml:space="preserve"> Municipal de </w:t>
      </w:r>
      <w:proofErr w:type="spellStart"/>
      <w:r w:rsidRPr="006145CC">
        <w:rPr>
          <w:rFonts w:ascii="Arial Narrow" w:hAnsi="Arial Narrow"/>
        </w:rPr>
        <w:t>Cascais</w:t>
      </w:r>
      <w:proofErr w:type="spellEnd"/>
      <w:r>
        <w:rPr>
          <w:rFonts w:ascii="Arial Narrow" w:hAnsi="Arial Narrow"/>
        </w:rPr>
        <w:t>), The General Directorate of Probation and Prison Services</w:t>
      </w:r>
      <w:r w:rsidR="00C751CA">
        <w:rPr>
          <w:rFonts w:ascii="Arial Narrow" w:hAnsi="Arial Narrow"/>
        </w:rPr>
        <w:t xml:space="preserve"> (</w:t>
      </w:r>
      <w:proofErr w:type="spellStart"/>
      <w:r w:rsidR="00C751CA" w:rsidRPr="00C751CA">
        <w:rPr>
          <w:rFonts w:ascii="Arial Narrow" w:hAnsi="Arial Narrow"/>
        </w:rPr>
        <w:t>Direcção</w:t>
      </w:r>
      <w:proofErr w:type="spellEnd"/>
      <w:r w:rsidR="00C751CA" w:rsidRPr="00C751CA">
        <w:rPr>
          <w:rFonts w:ascii="Arial Narrow" w:hAnsi="Arial Narrow"/>
        </w:rPr>
        <w:t xml:space="preserve"> </w:t>
      </w:r>
      <w:proofErr w:type="spellStart"/>
      <w:r w:rsidR="00C751CA" w:rsidRPr="00C751CA">
        <w:rPr>
          <w:rFonts w:ascii="Arial Narrow" w:hAnsi="Arial Narrow"/>
        </w:rPr>
        <w:t>Geral</w:t>
      </w:r>
      <w:proofErr w:type="spellEnd"/>
      <w:r w:rsidR="00C751CA" w:rsidRPr="00C751CA">
        <w:rPr>
          <w:rFonts w:ascii="Arial Narrow" w:hAnsi="Arial Narrow"/>
        </w:rPr>
        <w:t xml:space="preserve"> de </w:t>
      </w:r>
      <w:proofErr w:type="spellStart"/>
      <w:r w:rsidR="00C751CA" w:rsidRPr="00C751CA">
        <w:rPr>
          <w:rFonts w:ascii="Arial Narrow" w:hAnsi="Arial Narrow"/>
        </w:rPr>
        <w:t>Reinserção</w:t>
      </w:r>
      <w:proofErr w:type="spellEnd"/>
      <w:r w:rsidR="00C751CA" w:rsidRPr="00C751CA">
        <w:rPr>
          <w:rFonts w:ascii="Arial Narrow" w:hAnsi="Arial Narrow"/>
        </w:rPr>
        <w:t xml:space="preserve"> e </w:t>
      </w:r>
      <w:proofErr w:type="spellStart"/>
      <w:r w:rsidR="00C751CA" w:rsidRPr="00C751CA">
        <w:rPr>
          <w:rFonts w:ascii="Arial Narrow" w:hAnsi="Arial Narrow"/>
        </w:rPr>
        <w:t>Serviços</w:t>
      </w:r>
      <w:proofErr w:type="spellEnd"/>
      <w:r w:rsidR="00C751CA" w:rsidRPr="00C751CA">
        <w:rPr>
          <w:rFonts w:ascii="Arial Narrow" w:hAnsi="Arial Narrow"/>
        </w:rPr>
        <w:t xml:space="preserve"> </w:t>
      </w:r>
      <w:proofErr w:type="spellStart"/>
      <w:r w:rsidR="00C751CA" w:rsidRPr="00C751CA">
        <w:rPr>
          <w:rFonts w:ascii="Arial Narrow" w:hAnsi="Arial Narrow"/>
        </w:rPr>
        <w:t>Prisionais</w:t>
      </w:r>
      <w:proofErr w:type="spellEnd"/>
      <w:r w:rsidR="00C751CA">
        <w:rPr>
          <w:rFonts w:ascii="Arial Narrow" w:hAnsi="Arial Narrow"/>
        </w:rPr>
        <w:t>) and the Portuguese Foundation for the Study, Prevention and Treatment of Drug Addiction (</w:t>
      </w:r>
      <w:proofErr w:type="spellStart"/>
      <w:r w:rsidR="00C751CA" w:rsidRPr="00C751CA">
        <w:rPr>
          <w:rFonts w:ascii="Arial Narrow" w:hAnsi="Arial Narrow"/>
        </w:rPr>
        <w:t>Fundação</w:t>
      </w:r>
      <w:proofErr w:type="spellEnd"/>
      <w:r w:rsidR="00C751CA" w:rsidRPr="00C751CA">
        <w:rPr>
          <w:rFonts w:ascii="Arial Narrow" w:hAnsi="Arial Narrow"/>
        </w:rPr>
        <w:t xml:space="preserve"> Portuguesa para o </w:t>
      </w:r>
      <w:proofErr w:type="spellStart"/>
      <w:r w:rsidR="00C751CA" w:rsidRPr="00C751CA">
        <w:rPr>
          <w:rFonts w:ascii="Arial Narrow" w:hAnsi="Arial Narrow"/>
        </w:rPr>
        <w:t>Estudo</w:t>
      </w:r>
      <w:proofErr w:type="spellEnd"/>
      <w:r w:rsidR="00C751CA">
        <w:rPr>
          <w:rFonts w:ascii="Arial Narrow" w:hAnsi="Arial Narrow"/>
        </w:rPr>
        <w:t>,</w:t>
      </w:r>
      <w:r w:rsidR="00C751CA" w:rsidRPr="00C751CA">
        <w:rPr>
          <w:rFonts w:ascii="Arial Narrow" w:hAnsi="Arial Narrow"/>
        </w:rPr>
        <w:t xml:space="preserve"> </w:t>
      </w:r>
      <w:proofErr w:type="spellStart"/>
      <w:r w:rsidR="00C751CA" w:rsidRPr="00C751CA">
        <w:rPr>
          <w:rFonts w:ascii="Arial Narrow" w:hAnsi="Arial Narrow"/>
        </w:rPr>
        <w:t>Prevenção</w:t>
      </w:r>
      <w:proofErr w:type="spellEnd"/>
      <w:r w:rsidR="00C751CA" w:rsidRPr="00C751CA">
        <w:rPr>
          <w:rFonts w:ascii="Arial Narrow" w:hAnsi="Arial Narrow"/>
        </w:rPr>
        <w:t xml:space="preserve"> e </w:t>
      </w:r>
      <w:proofErr w:type="spellStart"/>
      <w:r w:rsidR="00C751CA" w:rsidRPr="00C751CA">
        <w:rPr>
          <w:rFonts w:ascii="Arial Narrow" w:hAnsi="Arial Narrow"/>
        </w:rPr>
        <w:t>Tratamento</w:t>
      </w:r>
      <w:proofErr w:type="spellEnd"/>
      <w:r w:rsidR="00C751CA" w:rsidRPr="00C751CA">
        <w:rPr>
          <w:rFonts w:ascii="Arial Narrow" w:hAnsi="Arial Narrow"/>
        </w:rPr>
        <w:t xml:space="preserve"> da </w:t>
      </w:r>
      <w:proofErr w:type="spellStart"/>
      <w:r w:rsidR="00C751CA" w:rsidRPr="00C751CA">
        <w:rPr>
          <w:rFonts w:ascii="Arial Narrow" w:hAnsi="Arial Narrow"/>
        </w:rPr>
        <w:t>Toxicodependência</w:t>
      </w:r>
      <w:proofErr w:type="spellEnd"/>
      <w:r w:rsidR="00C751CA">
        <w:rPr>
          <w:rFonts w:ascii="Arial Narrow" w:hAnsi="Arial Narrow"/>
        </w:rPr>
        <w:t xml:space="preserve">). </w:t>
      </w:r>
      <w:r w:rsidR="007A1A1B">
        <w:rPr>
          <w:rFonts w:ascii="Arial Narrow" w:hAnsi="Arial Narrow"/>
        </w:rPr>
        <w:t>Its objective is to help individuals end violent behaviour</w:t>
      </w:r>
      <w:r w:rsidR="004B0370">
        <w:rPr>
          <w:rFonts w:ascii="Arial Narrow" w:hAnsi="Arial Narrow"/>
        </w:rPr>
        <w:t xml:space="preserve"> within conjugal relationships, to diminish reoccurrences and prevent victimization. The number of individual participating in the programme has progressively increased. The programme is </w:t>
      </w:r>
      <w:r w:rsidR="0077279A">
        <w:rPr>
          <w:rFonts w:ascii="Arial Narrow" w:hAnsi="Arial Narrow"/>
        </w:rPr>
        <w:t xml:space="preserve">organized in three </w:t>
      </w:r>
      <w:r w:rsidR="004B0370">
        <w:rPr>
          <w:rFonts w:ascii="Arial Narrow" w:hAnsi="Arial Narrow"/>
        </w:rPr>
        <w:t>stages:</w:t>
      </w:r>
    </w:p>
    <w:p w:rsidR="009D0C78" w:rsidRDefault="0077279A" w:rsidP="00913567">
      <w:pPr>
        <w:pStyle w:val="PargrafodaLista"/>
        <w:numPr>
          <w:ilvl w:val="0"/>
          <w:numId w:val="3"/>
        </w:numPr>
        <w:jc w:val="both"/>
        <w:rPr>
          <w:rFonts w:ascii="Arial Narrow" w:hAnsi="Arial Narrow"/>
        </w:rPr>
      </w:pPr>
      <w:r>
        <w:rPr>
          <w:rFonts w:ascii="Arial Narrow" w:hAnsi="Arial Narrow"/>
        </w:rPr>
        <w:t>Evaluation –</w:t>
      </w:r>
      <w:r w:rsidR="00487E15">
        <w:rPr>
          <w:rFonts w:ascii="Arial Narrow" w:hAnsi="Arial Narrow"/>
        </w:rPr>
        <w:t xml:space="preserve"> People can join the programme either by self-referral or, more commonly, are referred to it </w:t>
      </w:r>
      <w:r w:rsidR="004B0370">
        <w:rPr>
          <w:rFonts w:ascii="Arial Narrow" w:hAnsi="Arial Narrow"/>
        </w:rPr>
        <w:t xml:space="preserve">by the courts (as a sentence imposed by the judge), by the </w:t>
      </w:r>
      <w:r w:rsidR="00913567">
        <w:rPr>
          <w:rFonts w:ascii="Arial Narrow" w:hAnsi="Arial Narrow"/>
        </w:rPr>
        <w:t xml:space="preserve">Public </w:t>
      </w:r>
      <w:r w:rsidR="004B0370">
        <w:rPr>
          <w:rFonts w:ascii="Arial Narrow" w:hAnsi="Arial Narrow"/>
        </w:rPr>
        <w:t>Prosecutor’s Office</w:t>
      </w:r>
      <w:r w:rsidR="004B0370" w:rsidRPr="004B0370">
        <w:rPr>
          <w:rFonts w:ascii="Arial Narrow" w:hAnsi="Arial Narrow"/>
        </w:rPr>
        <w:t xml:space="preserve"> </w:t>
      </w:r>
      <w:r w:rsidR="00913567">
        <w:rPr>
          <w:rFonts w:ascii="Arial Narrow" w:hAnsi="Arial Narrow"/>
        </w:rPr>
        <w:t>(</w:t>
      </w:r>
      <w:proofErr w:type="spellStart"/>
      <w:r w:rsidR="00913567" w:rsidRPr="00913567">
        <w:rPr>
          <w:rFonts w:ascii="Arial Narrow" w:hAnsi="Arial Narrow"/>
        </w:rPr>
        <w:t>Ministério</w:t>
      </w:r>
      <w:proofErr w:type="spellEnd"/>
      <w:r w:rsidR="00913567" w:rsidRPr="00913567">
        <w:rPr>
          <w:rFonts w:ascii="Arial Narrow" w:hAnsi="Arial Narrow"/>
        </w:rPr>
        <w:t xml:space="preserve"> </w:t>
      </w:r>
      <w:proofErr w:type="spellStart"/>
      <w:r w:rsidR="00913567" w:rsidRPr="00913567">
        <w:rPr>
          <w:rFonts w:ascii="Arial Narrow" w:hAnsi="Arial Narrow"/>
        </w:rPr>
        <w:t>Público</w:t>
      </w:r>
      <w:proofErr w:type="spellEnd"/>
      <w:r w:rsidR="00913567">
        <w:rPr>
          <w:rFonts w:ascii="Arial Narrow" w:hAnsi="Arial Narrow"/>
        </w:rPr>
        <w:t>)</w:t>
      </w:r>
      <w:r w:rsidR="00913567" w:rsidRPr="00913567">
        <w:rPr>
          <w:rFonts w:ascii="Arial Narrow" w:hAnsi="Arial Narrow"/>
        </w:rPr>
        <w:t xml:space="preserve"> </w:t>
      </w:r>
      <w:r w:rsidR="004B0370">
        <w:rPr>
          <w:rFonts w:ascii="Arial Narrow" w:hAnsi="Arial Narrow"/>
        </w:rPr>
        <w:t xml:space="preserve">(individuals charged with a domestic violence offence), by the </w:t>
      </w:r>
      <w:r w:rsidR="004B0370" w:rsidRPr="004B0370">
        <w:rPr>
          <w:rFonts w:ascii="Arial Narrow" w:hAnsi="Arial Narrow"/>
        </w:rPr>
        <w:t>General Directorate of Probation and Prison Services</w:t>
      </w:r>
      <w:r w:rsidR="004B0370">
        <w:rPr>
          <w:rFonts w:ascii="Arial Narrow" w:hAnsi="Arial Narrow"/>
        </w:rPr>
        <w:t xml:space="preserve"> (DGRS</w:t>
      </w:r>
      <w:r w:rsidR="005A5BB4">
        <w:rPr>
          <w:rFonts w:ascii="Arial Narrow" w:hAnsi="Arial Narrow"/>
        </w:rPr>
        <w:t>P</w:t>
      </w:r>
      <w:r w:rsidR="00487E15">
        <w:rPr>
          <w:rFonts w:ascii="Arial Narrow" w:hAnsi="Arial Narrow"/>
        </w:rPr>
        <w:t>)</w:t>
      </w:r>
      <w:r w:rsidR="005A5BB4">
        <w:rPr>
          <w:rFonts w:ascii="Arial Narrow" w:hAnsi="Arial Narrow"/>
        </w:rPr>
        <w:t xml:space="preserve">. They are </w:t>
      </w:r>
      <w:r w:rsidR="00B90DF7">
        <w:rPr>
          <w:rFonts w:ascii="Arial Narrow" w:hAnsi="Arial Narrow"/>
        </w:rPr>
        <w:t xml:space="preserve">then </w:t>
      </w:r>
      <w:r w:rsidR="005A5BB4">
        <w:rPr>
          <w:rFonts w:ascii="Arial Narrow" w:hAnsi="Arial Narrow"/>
        </w:rPr>
        <w:t>submitted to an evaluation process out of which a report recommending or not recommending participation is issued.</w:t>
      </w:r>
    </w:p>
    <w:p w:rsidR="006145CC" w:rsidRDefault="009D0C78" w:rsidP="009D0C78">
      <w:pPr>
        <w:pStyle w:val="PargrafodaLista"/>
        <w:ind w:left="1080"/>
        <w:jc w:val="both"/>
        <w:rPr>
          <w:rFonts w:ascii="Arial Narrow" w:hAnsi="Arial Narrow"/>
        </w:rPr>
      </w:pPr>
      <w:r>
        <w:rPr>
          <w:rFonts w:ascii="Arial Narrow" w:hAnsi="Arial Narrow"/>
        </w:rPr>
        <w:t>On DGSP referrals the evaluation is done by DG</w:t>
      </w:r>
      <w:r w:rsidR="00DF26FB">
        <w:rPr>
          <w:rFonts w:ascii="Arial Narrow" w:hAnsi="Arial Narrow"/>
        </w:rPr>
        <w:t>SP technical staff. Interview</w:t>
      </w:r>
      <w:r w:rsidR="00487E15">
        <w:rPr>
          <w:rFonts w:ascii="Arial Narrow" w:hAnsi="Arial Narrow"/>
        </w:rPr>
        <w:t>s</w:t>
      </w:r>
      <w:r w:rsidR="00DF26FB">
        <w:rPr>
          <w:rFonts w:ascii="Arial Narrow" w:hAnsi="Arial Narrow"/>
        </w:rPr>
        <w:t xml:space="preserve"> are conducted </w:t>
      </w:r>
      <w:r w:rsidR="0073231A">
        <w:rPr>
          <w:rFonts w:ascii="Arial Narrow" w:hAnsi="Arial Narrow"/>
        </w:rPr>
        <w:t xml:space="preserve">with </w:t>
      </w:r>
      <w:r w:rsidR="00487E15">
        <w:rPr>
          <w:rFonts w:ascii="Arial Narrow" w:hAnsi="Arial Narrow"/>
        </w:rPr>
        <w:t>the person and, if possible</w:t>
      </w:r>
      <w:r w:rsidR="0073231A">
        <w:rPr>
          <w:rFonts w:ascii="Arial Narrow" w:hAnsi="Arial Narrow"/>
        </w:rPr>
        <w:t>, with</w:t>
      </w:r>
      <w:r w:rsidR="00DF26FB">
        <w:rPr>
          <w:rFonts w:ascii="Arial Narrow" w:hAnsi="Arial Narrow"/>
        </w:rPr>
        <w:t xml:space="preserve"> family members, friends, members of the community, and especially the victim in order to develop an adequate social, family and violence profile</w:t>
      </w:r>
      <w:r w:rsidR="00DF26FB" w:rsidRPr="00DF26FB">
        <w:rPr>
          <w:rFonts w:ascii="Arial Narrow" w:hAnsi="Arial Narrow"/>
        </w:rPr>
        <w:t xml:space="preserve"> </w:t>
      </w:r>
      <w:r w:rsidR="00DF26FB">
        <w:rPr>
          <w:rFonts w:ascii="Arial Narrow" w:hAnsi="Arial Narrow"/>
        </w:rPr>
        <w:t xml:space="preserve">and evaluate whether the individual meets the programmes requirements. </w:t>
      </w:r>
      <w:r w:rsidR="0073231A">
        <w:rPr>
          <w:rFonts w:ascii="Arial Narrow" w:hAnsi="Arial Narrow"/>
        </w:rPr>
        <w:t xml:space="preserve">The decision to propose the individual for the programme is always </w:t>
      </w:r>
      <w:r w:rsidR="00FE7EB8">
        <w:rPr>
          <w:rFonts w:ascii="Arial Narrow" w:hAnsi="Arial Narrow"/>
        </w:rPr>
        <w:t>presented and discussed with the subject and, if possible, the victim.</w:t>
      </w:r>
    </w:p>
    <w:p w:rsidR="00FE7EB8" w:rsidRDefault="00FE7EB8" w:rsidP="009D0C78">
      <w:pPr>
        <w:pStyle w:val="PargrafodaLista"/>
        <w:ind w:left="1080"/>
        <w:jc w:val="both"/>
        <w:rPr>
          <w:rFonts w:ascii="Arial Narrow" w:hAnsi="Arial Narrow"/>
        </w:rPr>
      </w:pPr>
      <w:r>
        <w:rPr>
          <w:rFonts w:ascii="Arial Narrow" w:hAnsi="Arial Narrow"/>
        </w:rPr>
        <w:t>Referrals by the courts or by the Prosecutor’s Office involve a schedule of requirements judged adequate to each particular case. The individual can be directed to mental health care, drug counselling, family therapy</w:t>
      </w:r>
      <w:r w:rsidR="00B05614">
        <w:rPr>
          <w:rFonts w:ascii="Arial Narrow" w:hAnsi="Arial Narrow"/>
        </w:rPr>
        <w:t>, etc.,</w:t>
      </w:r>
      <w:r>
        <w:rPr>
          <w:rFonts w:ascii="Arial Narrow" w:hAnsi="Arial Narrow"/>
        </w:rPr>
        <w:t xml:space="preserve"> in addition to the </w:t>
      </w:r>
      <w:r w:rsidR="00B05614">
        <w:rPr>
          <w:rFonts w:ascii="Arial Narrow" w:hAnsi="Arial Narrow"/>
        </w:rPr>
        <w:t>programme itself. Motivational counselling and monitoring of the individual´s progress in the programme are required. Throughout the process the individual is under the responsibility of the Probation Department.</w:t>
      </w:r>
    </w:p>
    <w:p w:rsidR="00B05614" w:rsidRDefault="00B05614" w:rsidP="00B05614">
      <w:pPr>
        <w:jc w:val="both"/>
        <w:rPr>
          <w:rFonts w:ascii="Arial Narrow" w:hAnsi="Arial Narrow"/>
        </w:rPr>
      </w:pPr>
    </w:p>
    <w:p w:rsidR="00AD39D7" w:rsidRDefault="00394A2D" w:rsidP="00AD39D7">
      <w:pPr>
        <w:pStyle w:val="PargrafodaLista"/>
        <w:numPr>
          <w:ilvl w:val="0"/>
          <w:numId w:val="3"/>
        </w:numPr>
        <w:jc w:val="both"/>
        <w:rPr>
          <w:rFonts w:ascii="Arial Narrow" w:hAnsi="Arial Narrow"/>
        </w:rPr>
      </w:pPr>
      <w:r>
        <w:rPr>
          <w:rFonts w:ascii="Arial Narrow" w:hAnsi="Arial Narrow"/>
        </w:rPr>
        <w:t xml:space="preserve">Individual supervision and monitoring – it is at this point that the Prosecutor’s Office or the Judge decides </w:t>
      </w:r>
      <w:r w:rsidR="00B74C6E">
        <w:rPr>
          <w:rFonts w:ascii="Arial Narrow" w:hAnsi="Arial Narrow"/>
        </w:rPr>
        <w:t xml:space="preserve">whether to authorize or deny participation in the Programme. In the case of voluntary candidacies this is also the moment when the programme begins. Candidates are made aware of the decision and of the period allocated for compliance with the measure(s). The programme involves </w:t>
      </w:r>
      <w:r w:rsidR="00AD39D7">
        <w:rPr>
          <w:rFonts w:ascii="Arial Narrow" w:hAnsi="Arial Narrow"/>
        </w:rPr>
        <w:t>individual monitoring and</w:t>
      </w:r>
      <w:r w:rsidR="00B74C6E">
        <w:rPr>
          <w:rFonts w:ascii="Arial Narrow" w:hAnsi="Arial Narrow"/>
        </w:rPr>
        <w:t xml:space="preserve"> </w:t>
      </w:r>
      <w:r w:rsidR="00AD39D7">
        <w:rPr>
          <w:rFonts w:ascii="Arial Narrow" w:hAnsi="Arial Narrow"/>
        </w:rPr>
        <w:t>completion of a Psycho-Educational Module (</w:t>
      </w:r>
      <w:proofErr w:type="spellStart"/>
      <w:r w:rsidR="00AD39D7">
        <w:rPr>
          <w:rFonts w:ascii="Arial Narrow" w:hAnsi="Arial Narrow"/>
        </w:rPr>
        <w:t>Módulo</w:t>
      </w:r>
      <w:proofErr w:type="spellEnd"/>
      <w:r w:rsidR="00AD39D7">
        <w:rPr>
          <w:rFonts w:ascii="Arial Narrow" w:hAnsi="Arial Narrow"/>
        </w:rPr>
        <w:t xml:space="preserve"> </w:t>
      </w:r>
      <w:proofErr w:type="spellStart"/>
      <w:r w:rsidR="00AD39D7">
        <w:rPr>
          <w:rFonts w:ascii="Arial Narrow" w:hAnsi="Arial Narrow"/>
        </w:rPr>
        <w:t>Psico-Educacional</w:t>
      </w:r>
      <w:proofErr w:type="spellEnd"/>
      <w:r w:rsidR="00AD39D7">
        <w:rPr>
          <w:rFonts w:ascii="Arial Narrow" w:hAnsi="Arial Narrow"/>
        </w:rPr>
        <w:t xml:space="preserve"> or </w:t>
      </w:r>
      <w:r w:rsidR="00AD39D7" w:rsidRPr="00AD39D7">
        <w:rPr>
          <w:rFonts w:ascii="Arial Narrow" w:hAnsi="Arial Narrow"/>
        </w:rPr>
        <w:t>MPE)</w:t>
      </w:r>
      <w:r w:rsidR="00AD39D7">
        <w:rPr>
          <w:rFonts w:ascii="Arial Narrow" w:hAnsi="Arial Narrow"/>
        </w:rPr>
        <w:t xml:space="preserve"> composed of 18 group sessions. The groups are made up of individuals at different phases of the process, something which has proven useful, especially for those just getting started. There are other activities that can be made part of the process when possible and justifiable for particular cases.</w:t>
      </w:r>
    </w:p>
    <w:p w:rsidR="00AD39D7" w:rsidRPr="00AD39D7" w:rsidRDefault="00AD39D7" w:rsidP="00AD39D7">
      <w:pPr>
        <w:jc w:val="both"/>
        <w:rPr>
          <w:rFonts w:ascii="Arial Narrow" w:hAnsi="Arial Narrow"/>
        </w:rPr>
      </w:pPr>
    </w:p>
    <w:p w:rsidR="00AD39D7" w:rsidRDefault="00AD39D7" w:rsidP="00AD39D7">
      <w:pPr>
        <w:pStyle w:val="PargrafodaLista"/>
        <w:numPr>
          <w:ilvl w:val="0"/>
          <w:numId w:val="3"/>
        </w:numPr>
        <w:jc w:val="both"/>
        <w:rPr>
          <w:rFonts w:ascii="Arial Narrow" w:hAnsi="Arial Narrow"/>
        </w:rPr>
      </w:pPr>
      <w:r>
        <w:rPr>
          <w:rFonts w:ascii="Arial Narrow" w:hAnsi="Arial Narrow"/>
        </w:rPr>
        <w:t>Follow</w:t>
      </w:r>
      <w:r w:rsidR="00C915AC">
        <w:rPr>
          <w:rFonts w:ascii="Arial Narrow" w:hAnsi="Arial Narrow"/>
        </w:rPr>
        <w:t>-</w:t>
      </w:r>
      <w:r>
        <w:rPr>
          <w:rFonts w:ascii="Arial Narrow" w:hAnsi="Arial Narrow"/>
        </w:rPr>
        <w:t xml:space="preserve">up </w:t>
      </w:r>
      <w:r w:rsidR="00C915AC">
        <w:rPr>
          <w:rFonts w:ascii="Arial Narrow" w:hAnsi="Arial Narrow"/>
        </w:rPr>
        <w:t>– Two years after completion of the programme an evaluation is conducted. This evaluation i</w:t>
      </w:r>
      <w:r w:rsidR="00B238AD">
        <w:rPr>
          <w:rFonts w:ascii="Arial Narrow" w:hAnsi="Arial Narrow"/>
        </w:rPr>
        <w:t>nvolves the victim, new</w:t>
      </w:r>
      <w:r w:rsidR="00C915AC">
        <w:rPr>
          <w:rFonts w:ascii="Arial Narrow" w:hAnsi="Arial Narrow"/>
        </w:rPr>
        <w:t xml:space="preserve"> partner</w:t>
      </w:r>
      <w:r w:rsidR="00B238AD">
        <w:rPr>
          <w:rFonts w:ascii="Arial Narrow" w:hAnsi="Arial Narrow"/>
        </w:rPr>
        <w:t xml:space="preserve"> if the perpetrator is involved in another relationship</w:t>
      </w:r>
      <w:r w:rsidR="00C915AC">
        <w:rPr>
          <w:rFonts w:ascii="Arial Narrow" w:hAnsi="Arial Narrow"/>
        </w:rPr>
        <w:t>, police services, the courts, and other services so as to determine if the individual has relapsed into aggressive behaviour.</w:t>
      </w:r>
    </w:p>
    <w:p w:rsidR="00C915AC" w:rsidRPr="00C915AC" w:rsidRDefault="00C915AC" w:rsidP="00C915AC">
      <w:pPr>
        <w:pStyle w:val="PargrafodaLista"/>
        <w:rPr>
          <w:rFonts w:ascii="Arial Narrow" w:hAnsi="Arial Narrow"/>
        </w:rPr>
      </w:pPr>
    </w:p>
    <w:p w:rsidR="00B85FFD" w:rsidRDefault="00B85FFD" w:rsidP="00C915AC">
      <w:pPr>
        <w:jc w:val="both"/>
        <w:rPr>
          <w:rFonts w:ascii="Arial Narrow" w:hAnsi="Arial Narrow"/>
        </w:rPr>
      </w:pPr>
      <w:r>
        <w:rPr>
          <w:rFonts w:ascii="Arial Narrow" w:hAnsi="Arial Narrow"/>
        </w:rPr>
        <w:t>The fact that the programme brings together individuals at all phases of the therapy as well as those who volunteered with those who are mandated to attend has demonstrated to be a positive stimulus for those who are initially less committed to the programme. Seeing the commitment and progress made by others is a great incentive and helps many overcome resistance to the aims of the programme.</w:t>
      </w:r>
    </w:p>
    <w:p w:rsidR="00830214" w:rsidRDefault="00B85FFD" w:rsidP="00C915AC">
      <w:pPr>
        <w:jc w:val="both"/>
        <w:rPr>
          <w:rFonts w:ascii="Arial Narrow" w:hAnsi="Arial Narrow"/>
          <w:b/>
        </w:rPr>
      </w:pPr>
      <w:r w:rsidRPr="001C2AE1">
        <w:rPr>
          <w:rFonts w:ascii="Arial Narrow" w:hAnsi="Arial Narrow"/>
          <w:b/>
        </w:rPr>
        <w:t xml:space="preserve">As an alternative to prison, it is important to highlight those who arrive to the programme through the Prosecutor’s Office </w:t>
      </w:r>
      <w:r w:rsidR="00CE0233">
        <w:rPr>
          <w:rFonts w:ascii="Arial Narrow" w:hAnsi="Arial Narrow"/>
          <w:b/>
        </w:rPr>
        <w:t xml:space="preserve">as requirement associated with a </w:t>
      </w:r>
      <w:r w:rsidR="00CE0233" w:rsidRPr="00CE0233">
        <w:rPr>
          <w:rFonts w:ascii="Arial Narrow" w:hAnsi="Arial Narrow"/>
          <w:b/>
          <w:i/>
        </w:rPr>
        <w:t>suspended c</w:t>
      </w:r>
      <w:r w:rsidR="00913567" w:rsidRPr="00CE0233">
        <w:rPr>
          <w:rFonts w:ascii="Arial Narrow" w:hAnsi="Arial Narrow"/>
          <w:b/>
          <w:i/>
        </w:rPr>
        <w:t>ase</w:t>
      </w:r>
      <w:r w:rsidR="00913567" w:rsidRPr="001C2AE1">
        <w:rPr>
          <w:rFonts w:ascii="Arial Narrow" w:hAnsi="Arial Narrow"/>
          <w:b/>
        </w:rPr>
        <w:t xml:space="preserve"> </w:t>
      </w:r>
      <w:r w:rsidR="00CE0233">
        <w:rPr>
          <w:rFonts w:ascii="Arial Narrow" w:hAnsi="Arial Narrow"/>
          <w:b/>
        </w:rPr>
        <w:t xml:space="preserve">alternative </w:t>
      </w:r>
      <w:r w:rsidR="00913567" w:rsidRPr="001C2AE1">
        <w:rPr>
          <w:rFonts w:ascii="Arial Narrow" w:hAnsi="Arial Narrow"/>
          <w:b/>
        </w:rPr>
        <w:t>(</w:t>
      </w:r>
      <w:proofErr w:type="spellStart"/>
      <w:r w:rsidR="00913567" w:rsidRPr="001C2AE1">
        <w:rPr>
          <w:rFonts w:ascii="Arial Narrow" w:hAnsi="Arial Narrow"/>
          <w:b/>
        </w:rPr>
        <w:t>Suspensão</w:t>
      </w:r>
      <w:proofErr w:type="spellEnd"/>
      <w:r w:rsidR="00913567" w:rsidRPr="001C2AE1">
        <w:rPr>
          <w:rFonts w:ascii="Arial Narrow" w:hAnsi="Arial Narrow"/>
          <w:b/>
        </w:rPr>
        <w:t xml:space="preserve"> </w:t>
      </w:r>
      <w:proofErr w:type="spellStart"/>
      <w:r w:rsidR="00913567" w:rsidRPr="001C2AE1">
        <w:rPr>
          <w:rFonts w:ascii="Arial Narrow" w:hAnsi="Arial Narrow"/>
          <w:b/>
        </w:rPr>
        <w:t>Provisória</w:t>
      </w:r>
      <w:proofErr w:type="spellEnd"/>
      <w:r w:rsidR="00913567" w:rsidRPr="001C2AE1">
        <w:rPr>
          <w:rFonts w:ascii="Arial Narrow" w:hAnsi="Arial Narrow"/>
          <w:b/>
        </w:rPr>
        <w:t xml:space="preserve"> do </w:t>
      </w:r>
      <w:proofErr w:type="spellStart"/>
      <w:r w:rsidR="00913567" w:rsidRPr="001C2AE1">
        <w:rPr>
          <w:rFonts w:ascii="Arial Narrow" w:hAnsi="Arial Narrow"/>
          <w:b/>
        </w:rPr>
        <w:t>Processo</w:t>
      </w:r>
      <w:proofErr w:type="spellEnd"/>
      <w:r w:rsidR="00913567" w:rsidRPr="001C2AE1">
        <w:rPr>
          <w:rStyle w:val="Refdenotaderodap"/>
          <w:rFonts w:ascii="Arial Narrow" w:hAnsi="Arial Narrow"/>
          <w:b/>
        </w:rPr>
        <w:footnoteReference w:id="1"/>
      </w:r>
      <w:r w:rsidR="00B238AD">
        <w:rPr>
          <w:rFonts w:ascii="Arial Narrow" w:hAnsi="Arial Narrow"/>
          <w:b/>
        </w:rPr>
        <w:t>)</w:t>
      </w:r>
      <w:r w:rsidR="00913567" w:rsidRPr="001C2AE1">
        <w:rPr>
          <w:rFonts w:ascii="Arial Narrow" w:hAnsi="Arial Narrow"/>
          <w:b/>
        </w:rPr>
        <w:t xml:space="preserve">. </w:t>
      </w:r>
      <w:r w:rsidR="00B238AD">
        <w:rPr>
          <w:rFonts w:ascii="Arial Narrow" w:hAnsi="Arial Narrow"/>
          <w:b/>
        </w:rPr>
        <w:t>The</w:t>
      </w:r>
      <w:r w:rsidR="00913567" w:rsidRPr="001C2AE1">
        <w:rPr>
          <w:rFonts w:ascii="Arial Narrow" w:hAnsi="Arial Narrow"/>
          <w:b/>
        </w:rPr>
        <w:t xml:space="preserve"> Prosecutor’</w:t>
      </w:r>
      <w:r w:rsidR="00B238AD">
        <w:rPr>
          <w:rFonts w:ascii="Arial Narrow" w:hAnsi="Arial Narrow"/>
          <w:b/>
        </w:rPr>
        <w:t xml:space="preserve">s Office </w:t>
      </w:r>
      <w:r w:rsidR="001C2AE1" w:rsidRPr="001C2AE1">
        <w:rPr>
          <w:rFonts w:ascii="Arial Narrow" w:hAnsi="Arial Narrow"/>
          <w:b/>
        </w:rPr>
        <w:t xml:space="preserve">can propose this </w:t>
      </w:r>
      <w:r w:rsidR="00CE0233">
        <w:rPr>
          <w:rFonts w:ascii="Arial Narrow" w:hAnsi="Arial Narrow"/>
          <w:b/>
        </w:rPr>
        <w:t>measure as an alternative to proceeding to</w:t>
      </w:r>
      <w:r w:rsidR="001C2AE1" w:rsidRPr="001C2AE1">
        <w:rPr>
          <w:rFonts w:ascii="Arial Narrow" w:hAnsi="Arial Narrow"/>
          <w:b/>
        </w:rPr>
        <w:t xml:space="preserve"> the tria</w:t>
      </w:r>
      <w:r w:rsidR="00CE0233">
        <w:rPr>
          <w:rFonts w:ascii="Arial Narrow" w:hAnsi="Arial Narrow"/>
          <w:b/>
        </w:rPr>
        <w:t>l phase and potential prison sentence</w:t>
      </w:r>
      <w:r w:rsidR="001C2AE1" w:rsidRPr="001C2AE1">
        <w:rPr>
          <w:rFonts w:ascii="Arial Narrow" w:hAnsi="Arial Narrow"/>
          <w:b/>
        </w:rPr>
        <w:t>.</w:t>
      </w:r>
      <w:r w:rsidR="00830214">
        <w:rPr>
          <w:rFonts w:ascii="Arial Narrow" w:hAnsi="Arial Narrow"/>
          <w:b/>
        </w:rPr>
        <w:t xml:space="preserve"> Of a total 64 participants in the programme between 2010 and 2014, 32 or 50% were enrolled as part of this alternative.</w:t>
      </w:r>
    </w:p>
    <w:p w:rsidR="001C2AE1" w:rsidRDefault="00B74AFB" w:rsidP="00C915AC">
      <w:pPr>
        <w:jc w:val="both"/>
        <w:rPr>
          <w:rFonts w:ascii="Arial Narrow" w:hAnsi="Arial Narrow"/>
        </w:rPr>
      </w:pPr>
      <w:r>
        <w:rPr>
          <w:rFonts w:ascii="Arial Narrow" w:hAnsi="Arial Narrow"/>
        </w:rPr>
        <w:t xml:space="preserve">In evaluating outcome of programme participation, the following </w:t>
      </w:r>
      <w:r w:rsidR="00830214" w:rsidRPr="00830214">
        <w:rPr>
          <w:rFonts w:ascii="Arial Narrow" w:hAnsi="Arial Narrow"/>
        </w:rPr>
        <w:t>are assessed</w:t>
      </w:r>
      <w:r w:rsidR="00830214">
        <w:rPr>
          <w:rFonts w:ascii="Arial Narrow" w:hAnsi="Arial Narrow"/>
        </w:rPr>
        <w:t xml:space="preserve"> as being</w:t>
      </w:r>
      <w:r>
        <w:rPr>
          <w:rFonts w:ascii="Arial Narrow" w:hAnsi="Arial Narrow"/>
        </w:rPr>
        <w:t xml:space="preserve"> positive results:</w:t>
      </w:r>
    </w:p>
    <w:p w:rsidR="00B74AFB" w:rsidRDefault="00B74AFB" w:rsidP="00B74AFB">
      <w:pPr>
        <w:pStyle w:val="PargrafodaLista"/>
        <w:numPr>
          <w:ilvl w:val="0"/>
          <w:numId w:val="4"/>
        </w:numPr>
        <w:jc w:val="both"/>
        <w:rPr>
          <w:rFonts w:ascii="Arial Narrow" w:hAnsi="Arial Narrow"/>
        </w:rPr>
      </w:pPr>
      <w:r>
        <w:rPr>
          <w:rFonts w:ascii="Arial Narrow" w:hAnsi="Arial Narrow"/>
        </w:rPr>
        <w:t>Voluntary participation</w:t>
      </w:r>
    </w:p>
    <w:p w:rsidR="00B74AFB" w:rsidRDefault="00B74AFB" w:rsidP="00B74AFB">
      <w:pPr>
        <w:pStyle w:val="PargrafodaLista"/>
        <w:numPr>
          <w:ilvl w:val="0"/>
          <w:numId w:val="4"/>
        </w:numPr>
        <w:jc w:val="both"/>
        <w:rPr>
          <w:rFonts w:ascii="Arial Narrow" w:hAnsi="Arial Narrow"/>
        </w:rPr>
      </w:pPr>
      <w:r>
        <w:rPr>
          <w:rFonts w:ascii="Arial Narrow" w:hAnsi="Arial Narrow"/>
        </w:rPr>
        <w:t>Positive group dynamic toward new participants</w:t>
      </w:r>
    </w:p>
    <w:p w:rsidR="00B74AFB" w:rsidRDefault="00B74AFB" w:rsidP="00B74AFB">
      <w:pPr>
        <w:pStyle w:val="PargrafodaLista"/>
        <w:numPr>
          <w:ilvl w:val="0"/>
          <w:numId w:val="4"/>
        </w:numPr>
        <w:jc w:val="both"/>
        <w:rPr>
          <w:rFonts w:ascii="Arial Narrow" w:hAnsi="Arial Narrow"/>
        </w:rPr>
      </w:pPr>
      <w:r>
        <w:rPr>
          <w:rFonts w:ascii="Arial Narrow" w:hAnsi="Arial Narrow"/>
        </w:rPr>
        <w:t xml:space="preserve">Development of a new concept of self and of being within the dynamic of significant </w:t>
      </w:r>
      <w:r w:rsidR="00361709">
        <w:rPr>
          <w:rFonts w:ascii="Arial Narrow" w:hAnsi="Arial Narrow"/>
        </w:rPr>
        <w:t>emotional relationships (i.e. a non-violent</w:t>
      </w:r>
      <w:r>
        <w:rPr>
          <w:rFonts w:ascii="Arial Narrow" w:hAnsi="Arial Narrow"/>
        </w:rPr>
        <w:t xml:space="preserve"> interactive </w:t>
      </w:r>
      <w:r w:rsidR="00361709">
        <w:rPr>
          <w:rFonts w:ascii="Arial Narrow" w:hAnsi="Arial Narrow"/>
        </w:rPr>
        <w:t>dynamic)</w:t>
      </w:r>
    </w:p>
    <w:p w:rsidR="00361709" w:rsidRDefault="00361709" w:rsidP="00B74AFB">
      <w:pPr>
        <w:pStyle w:val="PargrafodaLista"/>
        <w:numPr>
          <w:ilvl w:val="0"/>
          <w:numId w:val="4"/>
        </w:numPr>
        <w:jc w:val="both"/>
        <w:rPr>
          <w:rFonts w:ascii="Arial Narrow" w:hAnsi="Arial Narrow"/>
        </w:rPr>
      </w:pPr>
      <w:r>
        <w:rPr>
          <w:rFonts w:ascii="Arial Narrow" w:hAnsi="Arial Narrow"/>
        </w:rPr>
        <w:t>Identification and recognition of past violence and aggression as well as a growing understanding of the impact that these have of the victim(s), as well as oneself</w:t>
      </w:r>
    </w:p>
    <w:p w:rsidR="00361709" w:rsidRDefault="00361709" w:rsidP="00B74AFB">
      <w:pPr>
        <w:pStyle w:val="PargrafodaLista"/>
        <w:numPr>
          <w:ilvl w:val="0"/>
          <w:numId w:val="4"/>
        </w:numPr>
        <w:jc w:val="both"/>
        <w:rPr>
          <w:rFonts w:ascii="Arial Narrow" w:hAnsi="Arial Narrow"/>
        </w:rPr>
      </w:pPr>
      <w:r>
        <w:rPr>
          <w:rFonts w:ascii="Arial Narrow" w:hAnsi="Arial Narrow"/>
        </w:rPr>
        <w:t>Empathic growth in family, social and work relations</w:t>
      </w:r>
    </w:p>
    <w:p w:rsidR="00361709" w:rsidRDefault="00361709" w:rsidP="00B74AFB">
      <w:pPr>
        <w:pStyle w:val="PargrafodaLista"/>
        <w:numPr>
          <w:ilvl w:val="0"/>
          <w:numId w:val="4"/>
        </w:numPr>
        <w:jc w:val="both"/>
        <w:rPr>
          <w:rFonts w:ascii="Arial Narrow" w:hAnsi="Arial Narrow"/>
        </w:rPr>
      </w:pPr>
      <w:r>
        <w:rPr>
          <w:rFonts w:ascii="Arial Narrow" w:hAnsi="Arial Narrow"/>
        </w:rPr>
        <w:t xml:space="preserve">Wish to share the positive experience of participating in the programme with (ex)partner (wife, girlfriend, </w:t>
      </w:r>
      <w:proofErr w:type="spellStart"/>
      <w:r>
        <w:rPr>
          <w:rFonts w:ascii="Arial Narrow" w:hAnsi="Arial Narrow"/>
        </w:rPr>
        <w:t>etc</w:t>
      </w:r>
      <w:proofErr w:type="spellEnd"/>
      <w:r>
        <w:rPr>
          <w:rFonts w:ascii="Arial Narrow" w:hAnsi="Arial Narrow"/>
        </w:rPr>
        <w:t>)</w:t>
      </w:r>
    </w:p>
    <w:p w:rsidR="008E7FFC" w:rsidRDefault="000636F9" w:rsidP="008E7FFC">
      <w:pPr>
        <w:jc w:val="both"/>
        <w:rPr>
          <w:rFonts w:ascii="Arial Narrow" w:hAnsi="Arial Narrow"/>
        </w:rPr>
      </w:pPr>
      <w:r>
        <w:rPr>
          <w:rFonts w:ascii="Arial Narrow" w:hAnsi="Arial Narrow"/>
        </w:rPr>
        <w:t>According to the programmes technicians, after the two year follow-up, there have been two cases of recidivism in the history of the programme (judged by the re-incidence of domestic violence).</w:t>
      </w:r>
    </w:p>
    <w:p w:rsidR="000636F9" w:rsidRDefault="000636F9" w:rsidP="008E7FFC">
      <w:pPr>
        <w:jc w:val="both"/>
        <w:rPr>
          <w:rFonts w:ascii="Arial Narrow" w:hAnsi="Arial Narrow"/>
          <w:b/>
        </w:rPr>
      </w:pPr>
      <w:r w:rsidRPr="000636F9">
        <w:rPr>
          <w:rFonts w:ascii="Arial Narrow" w:hAnsi="Arial Narrow"/>
          <w:b/>
        </w:rPr>
        <w:t>For those individuals sent to the programme by the Prosecutor’s Office as part of a suspended case, after a positive two year follow-up evaluation, the case is archived (dismissed).</w:t>
      </w:r>
    </w:p>
    <w:p w:rsidR="000636F9" w:rsidRDefault="000636F9" w:rsidP="008E7FFC">
      <w:pPr>
        <w:jc w:val="both"/>
        <w:rPr>
          <w:rFonts w:ascii="Arial Narrow" w:hAnsi="Arial Narrow"/>
          <w:b/>
        </w:rPr>
      </w:pPr>
    </w:p>
    <w:p w:rsidR="000636F9" w:rsidRDefault="000636F9" w:rsidP="008E7FFC">
      <w:pPr>
        <w:jc w:val="both"/>
        <w:rPr>
          <w:rFonts w:ascii="Arial Narrow" w:hAnsi="Arial Narrow"/>
          <w:b/>
        </w:rPr>
      </w:pPr>
    </w:p>
    <w:p w:rsidR="000636F9" w:rsidRPr="000636F9" w:rsidRDefault="000636F9" w:rsidP="008E7FFC">
      <w:pPr>
        <w:jc w:val="both"/>
        <w:rPr>
          <w:rFonts w:ascii="Arial Narrow" w:hAnsi="Arial Narrow"/>
        </w:rPr>
      </w:pPr>
      <w:r>
        <w:rPr>
          <w:rFonts w:ascii="Arial Narrow" w:hAnsi="Arial Narrow"/>
        </w:rPr>
        <w:t>Although the programmes are relatively small in scope, we conclude that the example</w:t>
      </w:r>
      <w:r w:rsidR="001C6131">
        <w:rPr>
          <w:rFonts w:ascii="Arial Narrow" w:hAnsi="Arial Narrow"/>
        </w:rPr>
        <w:t>s presented of Alternatives to P</w:t>
      </w:r>
      <w:r>
        <w:rPr>
          <w:rFonts w:ascii="Arial Narrow" w:hAnsi="Arial Narrow"/>
        </w:rPr>
        <w:t xml:space="preserve">rison have been consistently </w:t>
      </w:r>
      <w:r w:rsidR="001C6131">
        <w:rPr>
          <w:rFonts w:ascii="Arial Narrow" w:hAnsi="Arial Narrow"/>
        </w:rPr>
        <w:t xml:space="preserve">efficient in their results. Both examples demonstrate that the individuals given the opportunity to participate benefited from the “voluntary” dynamic of the experience, regardless of the degree of their problematic behaviour. Portugal has not benefitted from the potential diminution in prison population such alternatives promise because as of yet they exist at the margin, as the more common approach to </w:t>
      </w:r>
      <w:r w:rsidR="00CD76D5">
        <w:rPr>
          <w:rFonts w:ascii="Arial Narrow" w:hAnsi="Arial Narrow"/>
        </w:rPr>
        <w:t>“</w:t>
      </w:r>
      <w:r w:rsidR="001C6131">
        <w:rPr>
          <w:rFonts w:ascii="Arial Narrow" w:hAnsi="Arial Narrow"/>
        </w:rPr>
        <w:t>alternatives,</w:t>
      </w:r>
      <w:r w:rsidR="00CD76D5">
        <w:rPr>
          <w:rFonts w:ascii="Arial Narrow" w:hAnsi="Arial Narrow"/>
        </w:rPr>
        <w:t>”</w:t>
      </w:r>
      <w:r w:rsidR="001C6131">
        <w:rPr>
          <w:rFonts w:ascii="Arial Narrow" w:hAnsi="Arial Narrow"/>
        </w:rPr>
        <w:t xml:space="preserve"> here as elsewhere, prevails. We propose that the collaborative/curative model represented by these programmes could be expanded and explored in </w:t>
      </w:r>
      <w:r w:rsidR="004E1E89">
        <w:rPr>
          <w:rFonts w:ascii="Arial Narrow" w:hAnsi="Arial Narrow"/>
        </w:rPr>
        <w:t>relation to many other offenc</w:t>
      </w:r>
      <w:r w:rsidR="00CD76D5">
        <w:rPr>
          <w:rFonts w:ascii="Arial Narrow" w:hAnsi="Arial Narrow"/>
        </w:rPr>
        <w:t>es, with benefits for the individuals and society as a whole.</w:t>
      </w:r>
    </w:p>
    <w:p w:rsidR="004F4CE2" w:rsidRPr="000636F9" w:rsidRDefault="004F4CE2">
      <w:pPr>
        <w:jc w:val="both"/>
        <w:rPr>
          <w:rFonts w:ascii="Arial Narrow" w:hAnsi="Arial Narrow"/>
          <w:b/>
        </w:rPr>
      </w:pPr>
    </w:p>
    <w:sectPr w:rsidR="004F4CE2" w:rsidRPr="000636F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4BCD" w:rsidRDefault="00E94BCD" w:rsidP="00913567">
      <w:pPr>
        <w:spacing w:after="0" w:line="240" w:lineRule="auto"/>
      </w:pPr>
      <w:r>
        <w:separator/>
      </w:r>
    </w:p>
  </w:endnote>
  <w:endnote w:type="continuationSeparator" w:id="0">
    <w:p w:rsidR="00E94BCD" w:rsidRDefault="00E94BCD" w:rsidP="009135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4BCD" w:rsidRDefault="00E94BCD" w:rsidP="00913567">
      <w:pPr>
        <w:spacing w:after="0" w:line="240" w:lineRule="auto"/>
      </w:pPr>
      <w:r>
        <w:separator/>
      </w:r>
    </w:p>
  </w:footnote>
  <w:footnote w:type="continuationSeparator" w:id="0">
    <w:p w:rsidR="00E94BCD" w:rsidRDefault="00E94BCD" w:rsidP="00913567">
      <w:pPr>
        <w:spacing w:after="0" w:line="240" w:lineRule="auto"/>
      </w:pPr>
      <w:r>
        <w:continuationSeparator/>
      </w:r>
    </w:p>
  </w:footnote>
  <w:footnote w:id="1">
    <w:p w:rsidR="00913567" w:rsidRPr="00B84EDA" w:rsidRDefault="00913567" w:rsidP="00913567">
      <w:pPr>
        <w:pStyle w:val="Textodenotaderodap"/>
        <w:spacing w:line="276" w:lineRule="auto"/>
        <w:jc w:val="both"/>
        <w:rPr>
          <w:rFonts w:ascii="Arial Narrow" w:hAnsi="Arial Narrow"/>
          <w:sz w:val="18"/>
          <w:szCs w:val="18"/>
          <w:lang w:val="en-US"/>
        </w:rPr>
      </w:pPr>
      <w:r w:rsidRPr="001755BD">
        <w:rPr>
          <w:rStyle w:val="Refdenotaderodap"/>
          <w:rFonts w:ascii="Arial Narrow" w:hAnsi="Arial Narrow"/>
          <w:sz w:val="16"/>
          <w:szCs w:val="18"/>
        </w:rPr>
        <w:footnoteRef/>
      </w:r>
      <w:r w:rsidRPr="00B84EDA">
        <w:rPr>
          <w:rFonts w:ascii="Arial Narrow" w:hAnsi="Arial Narrow"/>
          <w:sz w:val="16"/>
          <w:szCs w:val="18"/>
          <w:lang w:val="en-US"/>
        </w:rPr>
        <w:t xml:space="preserve"> </w:t>
      </w:r>
      <w:r w:rsidR="004F4CE2" w:rsidRPr="00B84EDA">
        <w:rPr>
          <w:rFonts w:ascii="Arial Narrow" w:hAnsi="Arial Narrow"/>
          <w:b/>
          <w:bCs/>
          <w:sz w:val="16"/>
          <w:szCs w:val="18"/>
          <w:lang w:val="en-US"/>
        </w:rPr>
        <w:t>Suspende case: if the crime is punishable with a prison sentence not superior to 5 years or with a sanction other than prison, the Prosecutor’s Office, of its initiative or at the request of the accused or of the assistant, determines, with the agreement of the magistrate, the suspension of the case contingent upon compliance with rules of conduct, anytime that the following conditions are present: a) the agreement of the accused and the assistant; b) the absence of a previous guilty finding for a similar crime; c) the absence of a previous suspension of case for a similar crime; d) There not being reason for detention as a security measure; e) absence of a high level of culpability; and f) being reasonable foreseeable that compliance with injunctions and rules of conduct will sufficiently satisfy the requirements for prevention particular to the case.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EA65A9"/>
    <w:multiLevelType w:val="hybridMultilevel"/>
    <w:tmpl w:val="19BCC770"/>
    <w:lvl w:ilvl="0" w:tplc="B85C442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63434ED1"/>
    <w:multiLevelType w:val="hybridMultilevel"/>
    <w:tmpl w:val="0B08A23C"/>
    <w:lvl w:ilvl="0" w:tplc="908A9D2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70C87B0A"/>
    <w:multiLevelType w:val="hybridMultilevel"/>
    <w:tmpl w:val="119CF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79A8039A"/>
    <w:multiLevelType w:val="hybridMultilevel"/>
    <w:tmpl w:val="2B72217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6DC5"/>
    <w:rsid w:val="000636F9"/>
    <w:rsid w:val="000E2F42"/>
    <w:rsid w:val="00160229"/>
    <w:rsid w:val="001A24AB"/>
    <w:rsid w:val="001C2AE1"/>
    <w:rsid w:val="001C6131"/>
    <w:rsid w:val="001E1BFA"/>
    <w:rsid w:val="001E46CB"/>
    <w:rsid w:val="001E6F48"/>
    <w:rsid w:val="001E7A2B"/>
    <w:rsid w:val="00281BB3"/>
    <w:rsid w:val="00294734"/>
    <w:rsid w:val="002E11AF"/>
    <w:rsid w:val="003553E5"/>
    <w:rsid w:val="00361709"/>
    <w:rsid w:val="003749EB"/>
    <w:rsid w:val="00394A2D"/>
    <w:rsid w:val="00397573"/>
    <w:rsid w:val="003D5131"/>
    <w:rsid w:val="003E372A"/>
    <w:rsid w:val="00441125"/>
    <w:rsid w:val="00487E15"/>
    <w:rsid w:val="004B0370"/>
    <w:rsid w:val="004C1A5C"/>
    <w:rsid w:val="004C76A0"/>
    <w:rsid w:val="004E1E89"/>
    <w:rsid w:val="004F4CE2"/>
    <w:rsid w:val="004F78B4"/>
    <w:rsid w:val="005A262F"/>
    <w:rsid w:val="005A5BB4"/>
    <w:rsid w:val="005C39CF"/>
    <w:rsid w:val="006145CC"/>
    <w:rsid w:val="00633FCB"/>
    <w:rsid w:val="00644E4B"/>
    <w:rsid w:val="006916BB"/>
    <w:rsid w:val="006A2797"/>
    <w:rsid w:val="007232E2"/>
    <w:rsid w:val="0073231A"/>
    <w:rsid w:val="0073417D"/>
    <w:rsid w:val="0075383F"/>
    <w:rsid w:val="0077279A"/>
    <w:rsid w:val="007951A7"/>
    <w:rsid w:val="007A1A1B"/>
    <w:rsid w:val="007B1A89"/>
    <w:rsid w:val="00806525"/>
    <w:rsid w:val="00830214"/>
    <w:rsid w:val="00831EB4"/>
    <w:rsid w:val="00851790"/>
    <w:rsid w:val="008B360C"/>
    <w:rsid w:val="008E0DD1"/>
    <w:rsid w:val="008E5CEB"/>
    <w:rsid w:val="008E7FFC"/>
    <w:rsid w:val="008F1396"/>
    <w:rsid w:val="00913567"/>
    <w:rsid w:val="00937599"/>
    <w:rsid w:val="009578CE"/>
    <w:rsid w:val="009B773E"/>
    <w:rsid w:val="009D0C78"/>
    <w:rsid w:val="009E4919"/>
    <w:rsid w:val="009F002C"/>
    <w:rsid w:val="00A36C86"/>
    <w:rsid w:val="00A64499"/>
    <w:rsid w:val="00AA4BFD"/>
    <w:rsid w:val="00AB743F"/>
    <w:rsid w:val="00AD0117"/>
    <w:rsid w:val="00AD39D7"/>
    <w:rsid w:val="00B05614"/>
    <w:rsid w:val="00B238AD"/>
    <w:rsid w:val="00B27404"/>
    <w:rsid w:val="00B74AFB"/>
    <w:rsid w:val="00B74C6E"/>
    <w:rsid w:val="00B7711F"/>
    <w:rsid w:val="00B81758"/>
    <w:rsid w:val="00B84EDA"/>
    <w:rsid w:val="00B85FFD"/>
    <w:rsid w:val="00B90DF7"/>
    <w:rsid w:val="00BA75A1"/>
    <w:rsid w:val="00BE2D94"/>
    <w:rsid w:val="00BE62B4"/>
    <w:rsid w:val="00C342D8"/>
    <w:rsid w:val="00C4611A"/>
    <w:rsid w:val="00C751CA"/>
    <w:rsid w:val="00C915AC"/>
    <w:rsid w:val="00CC7BB5"/>
    <w:rsid w:val="00CD76D5"/>
    <w:rsid w:val="00CE0233"/>
    <w:rsid w:val="00D1187E"/>
    <w:rsid w:val="00D31215"/>
    <w:rsid w:val="00D45298"/>
    <w:rsid w:val="00DC5542"/>
    <w:rsid w:val="00DF26FB"/>
    <w:rsid w:val="00E039FB"/>
    <w:rsid w:val="00E21770"/>
    <w:rsid w:val="00E2775B"/>
    <w:rsid w:val="00E6468A"/>
    <w:rsid w:val="00E706D7"/>
    <w:rsid w:val="00E7570D"/>
    <w:rsid w:val="00E825E9"/>
    <w:rsid w:val="00E86DC5"/>
    <w:rsid w:val="00E94BCD"/>
    <w:rsid w:val="00F46A93"/>
    <w:rsid w:val="00F9086D"/>
    <w:rsid w:val="00F94FD9"/>
    <w:rsid w:val="00FB264B"/>
    <w:rsid w:val="00FE7E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D1187E"/>
    <w:pPr>
      <w:ind w:left="720"/>
      <w:contextualSpacing/>
    </w:pPr>
  </w:style>
  <w:style w:type="paragraph" w:styleId="Textodenotaderodap">
    <w:name w:val="footnote text"/>
    <w:basedOn w:val="Normal"/>
    <w:link w:val="TextodenotaderodapCarcter"/>
    <w:uiPriority w:val="99"/>
    <w:semiHidden/>
    <w:unhideWhenUsed/>
    <w:rsid w:val="00913567"/>
    <w:pPr>
      <w:spacing w:after="0" w:line="240" w:lineRule="auto"/>
    </w:pPr>
    <w:rPr>
      <w:sz w:val="20"/>
      <w:szCs w:val="20"/>
      <w:lang w:val="pt-PT"/>
    </w:rPr>
  </w:style>
  <w:style w:type="character" w:customStyle="1" w:styleId="TextodenotaderodapCarcter">
    <w:name w:val="Texto de nota de rodapé Carácter"/>
    <w:basedOn w:val="Tipodeletrapredefinidodopargrafo"/>
    <w:link w:val="Textodenotaderodap"/>
    <w:uiPriority w:val="99"/>
    <w:semiHidden/>
    <w:rsid w:val="00913567"/>
    <w:rPr>
      <w:sz w:val="20"/>
      <w:szCs w:val="20"/>
      <w:lang w:val="pt-PT"/>
    </w:rPr>
  </w:style>
  <w:style w:type="character" w:styleId="Refdenotaderodap">
    <w:name w:val="footnote reference"/>
    <w:basedOn w:val="Tipodeletrapredefinidodopargrafo"/>
    <w:uiPriority w:val="99"/>
    <w:semiHidden/>
    <w:unhideWhenUsed/>
    <w:rsid w:val="0091356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D1187E"/>
    <w:pPr>
      <w:ind w:left="720"/>
      <w:contextualSpacing/>
    </w:pPr>
  </w:style>
  <w:style w:type="paragraph" w:styleId="Textodenotaderodap">
    <w:name w:val="footnote text"/>
    <w:basedOn w:val="Normal"/>
    <w:link w:val="TextodenotaderodapCarcter"/>
    <w:uiPriority w:val="99"/>
    <w:semiHidden/>
    <w:unhideWhenUsed/>
    <w:rsid w:val="00913567"/>
    <w:pPr>
      <w:spacing w:after="0" w:line="240" w:lineRule="auto"/>
    </w:pPr>
    <w:rPr>
      <w:sz w:val="20"/>
      <w:szCs w:val="20"/>
      <w:lang w:val="pt-PT"/>
    </w:rPr>
  </w:style>
  <w:style w:type="character" w:customStyle="1" w:styleId="TextodenotaderodapCarcter">
    <w:name w:val="Texto de nota de rodapé Carácter"/>
    <w:basedOn w:val="Tipodeletrapredefinidodopargrafo"/>
    <w:link w:val="Textodenotaderodap"/>
    <w:uiPriority w:val="99"/>
    <w:semiHidden/>
    <w:rsid w:val="00913567"/>
    <w:rPr>
      <w:sz w:val="20"/>
      <w:szCs w:val="20"/>
      <w:lang w:val="pt-PT"/>
    </w:rPr>
  </w:style>
  <w:style w:type="character" w:styleId="Refdenotaderodap">
    <w:name w:val="footnote reference"/>
    <w:basedOn w:val="Tipodeletrapredefinidodopargrafo"/>
    <w:uiPriority w:val="99"/>
    <w:semiHidden/>
    <w:unhideWhenUsed/>
    <w:rsid w:val="0091356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Pages>5</Pages>
  <Words>2638</Words>
  <Characters>14251</Characters>
  <Application>Microsoft Office Word</Application>
  <DocSecurity>0</DocSecurity>
  <Lines>118</Lines>
  <Paragraphs>33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Nuno Martins</dc:creator>
  <cp:keywords/>
  <dc:description/>
  <cp:lastModifiedBy>Antonio Dores</cp:lastModifiedBy>
  <cp:revision>7</cp:revision>
  <dcterms:created xsi:type="dcterms:W3CDTF">2015-11-09T12:22:00Z</dcterms:created>
  <dcterms:modified xsi:type="dcterms:W3CDTF">2015-11-24T20:46:00Z</dcterms:modified>
</cp:coreProperties>
</file>