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BD" w:rsidRPr="001755BD" w:rsidRDefault="001755BD" w:rsidP="001755BD">
      <w:pPr>
        <w:spacing w:line="360" w:lineRule="auto"/>
        <w:jc w:val="center"/>
        <w:rPr>
          <w:rFonts w:ascii="Arial Narrow" w:hAnsi="Arial Narrow"/>
          <w:b/>
        </w:rPr>
      </w:pPr>
      <w:r w:rsidRPr="001755BD">
        <w:rPr>
          <w:rFonts w:ascii="Arial Narrow" w:hAnsi="Arial Narrow"/>
          <w:b/>
        </w:rPr>
        <w:t>As melhores práticas alternativas à prisão</w:t>
      </w:r>
      <w:r>
        <w:rPr>
          <w:rFonts w:ascii="Arial Narrow" w:hAnsi="Arial Narrow"/>
          <w:b/>
        </w:rPr>
        <w:t xml:space="preserve"> - Portugal</w:t>
      </w:r>
    </w:p>
    <w:p w:rsidR="001755BD" w:rsidRPr="00B64357" w:rsidRDefault="001755BD" w:rsidP="001755BD">
      <w:pPr>
        <w:spacing w:line="276" w:lineRule="auto"/>
        <w:jc w:val="both"/>
        <w:rPr>
          <w:rFonts w:ascii="Arial Narrow" w:hAnsi="Arial Narrow"/>
        </w:rPr>
      </w:pPr>
      <w:r w:rsidRPr="00B64357">
        <w:rPr>
          <w:rFonts w:ascii="Arial Narrow" w:hAnsi="Arial Narrow"/>
        </w:rPr>
        <w:t>Portugal caracteriza-se pela falta d</w:t>
      </w:r>
      <w:r>
        <w:rPr>
          <w:rFonts w:ascii="Arial Narrow" w:hAnsi="Arial Narrow"/>
        </w:rPr>
        <w:t>e debate sobre alternativas à</w:t>
      </w:r>
      <w:r w:rsidRPr="00B64357">
        <w:rPr>
          <w:rFonts w:ascii="Arial Narrow" w:hAnsi="Arial Narrow"/>
        </w:rPr>
        <w:t xml:space="preserve"> prisão</w:t>
      </w:r>
      <w:r>
        <w:rPr>
          <w:rFonts w:ascii="Arial Narrow" w:hAnsi="Arial Narrow"/>
        </w:rPr>
        <w:t>, não existem estudos nem investigações sobre o assunto. Não é um assunto debatido pelos serviços de administração de penas. O debate extra-penitenciário, ao nível judicial administrativo, restringe-se ao uso crescente da vigilância e</w:t>
      </w:r>
      <w:r w:rsidRPr="00F3555D">
        <w:rPr>
          <w:rFonts w:ascii="Arial Narrow" w:hAnsi="Arial Narrow"/>
        </w:rPr>
        <w:t xml:space="preserve">lectrónica </w:t>
      </w:r>
      <w:r>
        <w:rPr>
          <w:rFonts w:ascii="Arial Narrow" w:hAnsi="Arial Narrow"/>
        </w:rPr>
        <w:t>promovido pela</w:t>
      </w:r>
      <w:r w:rsidRPr="00F3555D">
        <w:rPr>
          <w:rFonts w:ascii="Arial Narrow" w:hAnsi="Arial Narrow"/>
        </w:rPr>
        <w:t xml:space="preserve"> Direção Geral de Reinserção </w:t>
      </w:r>
      <w:r>
        <w:rPr>
          <w:rFonts w:ascii="Arial Narrow" w:hAnsi="Arial Narrow"/>
        </w:rPr>
        <w:t xml:space="preserve">e Serviços Prisionais, e por razões do debate público sobre a prisão preventiva de pessoas conhecidas mediaticamente, a prisão domiciliária. Por outro lado não houve colaboração da </w:t>
      </w:r>
      <w:r w:rsidRPr="00F3555D">
        <w:rPr>
          <w:rFonts w:ascii="Arial Narrow" w:hAnsi="Arial Narrow"/>
        </w:rPr>
        <w:t xml:space="preserve">Direção Geral de Reinserção </w:t>
      </w:r>
      <w:r>
        <w:rPr>
          <w:rFonts w:ascii="Arial Narrow" w:hAnsi="Arial Narrow"/>
        </w:rPr>
        <w:t>e Serviços Prisionais na recolha de informação pertinente para a investigação de programas e ou alternativa</w:t>
      </w:r>
      <w:r w:rsidR="0037452A">
        <w:rPr>
          <w:rFonts w:ascii="Arial Narrow" w:hAnsi="Arial Narrow"/>
        </w:rPr>
        <w:t>s à prisão</w:t>
      </w:r>
      <w:r>
        <w:rPr>
          <w:rFonts w:ascii="Arial Narrow" w:hAnsi="Arial Narrow"/>
        </w:rPr>
        <w:t xml:space="preserve">. </w:t>
      </w:r>
    </w:p>
    <w:p w:rsidR="001755BD" w:rsidRDefault="001755BD" w:rsidP="001755B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Contudo, </w:t>
      </w:r>
      <w:r w:rsidR="00192A1B">
        <w:rPr>
          <w:rFonts w:ascii="Arial Narrow" w:hAnsi="Arial Narrow"/>
        </w:rPr>
        <w:t>conseguimos identificar dois</w:t>
      </w:r>
      <w:r>
        <w:rPr>
          <w:rFonts w:ascii="Arial Narrow" w:hAnsi="Arial Narrow"/>
        </w:rPr>
        <w:t xml:space="preserve"> exemplos de práticas interessantes</w:t>
      </w:r>
      <w:r w:rsidR="00192A1B">
        <w:rPr>
          <w:rFonts w:ascii="Arial Narrow" w:hAnsi="Arial Narrow"/>
        </w:rPr>
        <w:t xml:space="preserve"> promovidos por instituições</w:t>
      </w:r>
      <w:r>
        <w:rPr>
          <w:rFonts w:ascii="Arial Narrow" w:hAnsi="Arial Narrow"/>
        </w:rPr>
        <w:t xml:space="preserve"> fora do sistema prisional </w:t>
      </w:r>
      <w:r w:rsidR="00192A1B">
        <w:rPr>
          <w:rFonts w:ascii="Arial Narrow" w:hAnsi="Arial Narrow"/>
        </w:rPr>
        <w:t xml:space="preserve">que podem inspirar sistemas mais amplos de alternativas à prisão, </w:t>
      </w:r>
      <w:r w:rsidR="008269FD">
        <w:rPr>
          <w:rFonts w:ascii="Arial Narrow" w:hAnsi="Arial Narrow"/>
        </w:rPr>
        <w:t>em colaboração com</w:t>
      </w:r>
      <w:r w:rsidR="00192A1B">
        <w:rPr>
          <w:rFonts w:ascii="Arial Narrow" w:hAnsi="Arial Narrow"/>
        </w:rPr>
        <w:t xml:space="preserve"> </w:t>
      </w:r>
      <w:r w:rsidR="008269FD">
        <w:rPr>
          <w:rFonts w:ascii="Arial Narrow" w:hAnsi="Arial Narrow"/>
        </w:rPr>
        <w:t>o sistema judicial, mesmo que com pouca expressão acreditamos que têm o potencial para inspirar um aproximação mais ampla das alternativas à prisão</w:t>
      </w:r>
      <w:r w:rsidR="00192A1B">
        <w:rPr>
          <w:rFonts w:ascii="Arial Narrow" w:hAnsi="Arial Narrow"/>
        </w:rPr>
        <w:t>.</w:t>
      </w:r>
      <w:r w:rsidR="008269FD">
        <w:rPr>
          <w:rFonts w:ascii="Arial Narrow" w:hAnsi="Arial Narrow"/>
        </w:rPr>
        <w:t xml:space="preserve"> Os exemplos são:</w:t>
      </w:r>
      <w:r w:rsidR="00192A1B">
        <w:rPr>
          <w:rFonts w:ascii="Arial Narrow" w:hAnsi="Arial Narrow"/>
        </w:rPr>
        <w:t xml:space="preserve"> </w:t>
      </w:r>
      <w:r w:rsidR="008269FD">
        <w:rPr>
          <w:rFonts w:ascii="Arial Narrow" w:hAnsi="Arial Narrow"/>
        </w:rPr>
        <w:t>a)</w:t>
      </w:r>
      <w:r w:rsidR="00192A1B">
        <w:rPr>
          <w:rFonts w:ascii="Arial Narrow" w:hAnsi="Arial Narrow"/>
        </w:rPr>
        <w:t xml:space="preserve">O sistema de acolhimento das pessoas administrativamente tratadas por posse ou uso de substâncias ilícitas, no quadro das políticas de descriminalização desse tipo de actividade em vigor no país; </w:t>
      </w:r>
      <w:r w:rsidR="008269FD">
        <w:rPr>
          <w:rFonts w:ascii="Arial Narrow" w:hAnsi="Arial Narrow"/>
        </w:rPr>
        <w:t xml:space="preserve">e b) </w:t>
      </w:r>
      <w:r w:rsidR="00192A1B">
        <w:rPr>
          <w:rFonts w:ascii="Arial Narrow" w:hAnsi="Arial Narrow"/>
        </w:rPr>
        <w:t>a</w:t>
      </w:r>
      <w:r w:rsidR="008269FD">
        <w:rPr>
          <w:rFonts w:ascii="Arial Narrow" w:hAnsi="Arial Narrow"/>
        </w:rPr>
        <w:t>bordagens para a</w:t>
      </w:r>
      <w:r w:rsidR="00192A1B">
        <w:rPr>
          <w:rFonts w:ascii="Arial Narrow" w:hAnsi="Arial Narrow"/>
        </w:rPr>
        <w:t xml:space="preserve"> prevenção de agre</w:t>
      </w:r>
      <w:r w:rsidR="008269FD">
        <w:rPr>
          <w:rFonts w:ascii="Arial Narrow" w:hAnsi="Arial Narrow"/>
        </w:rPr>
        <w:t>ssores/as de</w:t>
      </w:r>
      <w:r w:rsidR="00192A1B">
        <w:rPr>
          <w:rFonts w:ascii="Arial Narrow" w:hAnsi="Arial Narrow"/>
        </w:rPr>
        <w:t xml:space="preserve"> violência doméstica, </w:t>
      </w:r>
      <w:r w:rsidR="008269FD">
        <w:rPr>
          <w:rFonts w:ascii="Arial Narrow" w:hAnsi="Arial Narrow"/>
        </w:rPr>
        <w:t>em parceria com ONG’s</w:t>
      </w:r>
      <w:r w:rsidR="00192A1B">
        <w:rPr>
          <w:rFonts w:ascii="Arial Narrow" w:hAnsi="Arial Narrow"/>
        </w:rPr>
        <w:t xml:space="preserve"> em dois concelhos do país</w:t>
      </w:r>
      <w:r w:rsidR="001A0DC4">
        <w:rPr>
          <w:rFonts w:ascii="Arial Narrow" w:hAnsi="Arial Narrow"/>
        </w:rPr>
        <w:t>, com apoio das Câmaras Municipais</w:t>
      </w:r>
      <w:r w:rsidR="00192A1B">
        <w:rPr>
          <w:rFonts w:ascii="Arial Narrow" w:hAnsi="Arial Narrow"/>
        </w:rPr>
        <w:t xml:space="preserve">.  </w:t>
      </w:r>
    </w:p>
    <w:p w:rsidR="001755BD" w:rsidRDefault="001755BD" w:rsidP="001755BD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ascii="Arial Narrow" w:hAnsi="Arial Narrow"/>
          <w:b/>
        </w:rPr>
      </w:pPr>
      <w:r w:rsidRPr="00B64357">
        <w:rPr>
          <w:rFonts w:ascii="Arial Narrow" w:hAnsi="Arial Narrow"/>
          <w:b/>
        </w:rPr>
        <w:t xml:space="preserve">Comissões para a Dissuasão da Toxicodependência </w:t>
      </w:r>
    </w:p>
    <w:p w:rsidR="001755BD" w:rsidRPr="004051B4" w:rsidRDefault="001755BD" w:rsidP="001755BD">
      <w:pPr>
        <w:spacing w:line="276" w:lineRule="auto"/>
        <w:jc w:val="both"/>
        <w:rPr>
          <w:rFonts w:ascii="Arial Narrow" w:hAnsi="Arial Narrow"/>
          <w:i/>
        </w:rPr>
      </w:pPr>
      <w:r w:rsidRPr="004051B4">
        <w:rPr>
          <w:rFonts w:ascii="Arial Narrow" w:hAnsi="Arial Narrow"/>
        </w:rPr>
        <w:t>As Comissões para a Dissuasão da Toxicodependência – CDT’s, encontram-se estruturalmente acopladas ao SICAD- Serviço de Intervenção nos Comportamentos Aditivos e nas Dependências, uma organização governamental que “</w:t>
      </w:r>
      <w:r w:rsidRPr="004051B4">
        <w:rPr>
          <w:rFonts w:ascii="Arial Narrow" w:hAnsi="Arial Narrow"/>
          <w:i/>
        </w:rPr>
        <w:t>tem por missão promover a redução do consumo de substâncias psicoativas, a prevenção dos comportamentos aditivos e a diminuição das dependências”</w:t>
      </w:r>
      <w:r w:rsidRPr="004051B4">
        <w:rPr>
          <w:rFonts w:ascii="Arial Narrow" w:hAnsi="Arial Narrow"/>
        </w:rPr>
        <w:t>.</w:t>
      </w:r>
      <w:r w:rsidR="00CB474C">
        <w:rPr>
          <w:rFonts w:ascii="Arial Narrow" w:hAnsi="Arial Narrow"/>
        </w:rPr>
        <w:t xml:space="preserve"> Existem desde 2001 e f</w:t>
      </w:r>
      <w:r w:rsidRPr="004051B4">
        <w:rPr>
          <w:rFonts w:ascii="Arial Narrow" w:hAnsi="Arial Narrow"/>
        </w:rPr>
        <w:t>oram criadas para operacionalizar a Lei nº30 de 29 de Novem</w:t>
      </w:r>
      <w:r w:rsidR="00F211E1">
        <w:rPr>
          <w:rFonts w:ascii="Arial Narrow" w:hAnsi="Arial Narrow"/>
        </w:rPr>
        <w:t>bro de 2000</w:t>
      </w:r>
      <w:r w:rsidRPr="004051B4">
        <w:rPr>
          <w:rFonts w:ascii="Arial Narrow" w:hAnsi="Arial Narrow"/>
        </w:rPr>
        <w:t xml:space="preserve"> normalmente chamada de “</w:t>
      </w:r>
      <w:r w:rsidRPr="004051B4">
        <w:rPr>
          <w:rFonts w:ascii="Arial Narrow" w:hAnsi="Arial Narrow"/>
          <w:i/>
        </w:rPr>
        <w:t>lei da descriminalização”</w:t>
      </w:r>
      <w:r w:rsidRPr="004051B4">
        <w:rPr>
          <w:rFonts w:ascii="Arial Narrow" w:hAnsi="Arial Narrow"/>
        </w:rPr>
        <w:t xml:space="preserve">, que trouxe uma mudança jurídico-legal </w:t>
      </w:r>
      <w:r w:rsidR="00F211E1">
        <w:rPr>
          <w:rFonts w:ascii="Arial Narrow" w:hAnsi="Arial Narrow"/>
        </w:rPr>
        <w:t>no comportamento do Estado perante o uso de drogas ilícitas. D</w:t>
      </w:r>
      <w:r w:rsidRPr="004051B4">
        <w:rPr>
          <w:rFonts w:ascii="Arial Narrow" w:hAnsi="Arial Narrow"/>
        </w:rPr>
        <w:t xml:space="preserve">e uma infração penal </w:t>
      </w:r>
      <w:r w:rsidR="00F211E1">
        <w:rPr>
          <w:rFonts w:ascii="Arial Narrow" w:hAnsi="Arial Narrow"/>
        </w:rPr>
        <w:t>–</w:t>
      </w:r>
      <w:r w:rsidRPr="004051B4">
        <w:rPr>
          <w:rFonts w:ascii="Arial Narrow" w:hAnsi="Arial Narrow"/>
        </w:rPr>
        <w:t xml:space="preserve"> crime</w:t>
      </w:r>
      <w:r w:rsidR="00F211E1">
        <w:rPr>
          <w:rFonts w:ascii="Arial Narrow" w:hAnsi="Arial Narrow"/>
        </w:rPr>
        <w:t xml:space="preserve"> –</w:t>
      </w:r>
      <w:r w:rsidRPr="004051B4">
        <w:rPr>
          <w:rFonts w:ascii="Arial Narrow" w:hAnsi="Arial Narrow"/>
        </w:rPr>
        <w:t xml:space="preserve">, </w:t>
      </w:r>
      <w:r w:rsidR="00F211E1">
        <w:rPr>
          <w:rFonts w:ascii="Arial Narrow" w:hAnsi="Arial Narrow"/>
        </w:rPr>
        <w:t xml:space="preserve">o uso de drogas ou a sua posse até certo montante passou a ser tratado como </w:t>
      </w:r>
      <w:r w:rsidRPr="004051B4">
        <w:rPr>
          <w:rFonts w:ascii="Arial Narrow" w:hAnsi="Arial Narrow"/>
        </w:rPr>
        <w:t>infração de natureza a</w:t>
      </w:r>
      <w:r w:rsidR="00F211E1">
        <w:rPr>
          <w:rFonts w:ascii="Arial Narrow" w:hAnsi="Arial Narrow"/>
        </w:rPr>
        <w:t>dministrativa – contraordenação</w:t>
      </w:r>
      <w:r w:rsidRPr="004051B4">
        <w:rPr>
          <w:rFonts w:ascii="Arial Narrow" w:hAnsi="Arial Narrow"/>
        </w:rPr>
        <w:t>. A lei descriminaliza a compra, posse e consumo de drogas, até uma quantidade máxima esti</w:t>
      </w:r>
      <w:r w:rsidR="00F211E1">
        <w:rPr>
          <w:rFonts w:ascii="Arial Narrow" w:hAnsi="Arial Narrow"/>
        </w:rPr>
        <w:t>m</w:t>
      </w:r>
      <w:r w:rsidRPr="004051B4">
        <w:rPr>
          <w:rFonts w:ascii="Arial Narrow" w:hAnsi="Arial Narrow"/>
        </w:rPr>
        <w:t>ada por lei, segundo o tipo de substância para uma média de 10 dias</w:t>
      </w:r>
      <w:r w:rsidR="00F211E1">
        <w:rPr>
          <w:rFonts w:ascii="Arial Narrow" w:hAnsi="Arial Narrow"/>
        </w:rPr>
        <w:t xml:space="preserve"> de consumo</w:t>
      </w:r>
      <w:r w:rsidRPr="004051B4">
        <w:rPr>
          <w:rFonts w:ascii="Arial Narrow" w:hAnsi="Arial Narrow"/>
        </w:rPr>
        <w:t>.</w:t>
      </w:r>
      <w:r w:rsidR="00F211E1">
        <w:rPr>
          <w:rFonts w:ascii="Arial Narrow" w:hAnsi="Arial Narrow"/>
        </w:rPr>
        <w:t xml:space="preserve"> </w:t>
      </w:r>
      <w:r w:rsidRPr="004051B4">
        <w:rPr>
          <w:rFonts w:ascii="Arial Narrow" w:hAnsi="Arial Narrow"/>
        </w:rPr>
        <w:t>Esta lei “</w:t>
      </w:r>
      <w:r w:rsidRPr="004051B4">
        <w:rPr>
          <w:rFonts w:ascii="Arial Narrow" w:hAnsi="Arial Narrow"/>
          <w:i/>
        </w:rPr>
        <w:t xml:space="preserve">Define o regime jurídico aplicável ao consumo de estupefacientes e substâncias psicotrópicas, bem como a protecção sanitária e social das pessoas que consome tais substâncias sem prescrição médica., </w:t>
      </w:r>
      <w:r w:rsidRPr="004051B4">
        <w:rPr>
          <w:rFonts w:ascii="Arial Narrow" w:hAnsi="Arial Narrow"/>
        </w:rPr>
        <w:t>dando</w:t>
      </w:r>
      <w:r w:rsidRPr="004051B4">
        <w:rPr>
          <w:rFonts w:ascii="Arial Narrow" w:hAnsi="Arial Narrow"/>
          <w:i/>
        </w:rPr>
        <w:t xml:space="preserve"> </w:t>
      </w:r>
      <w:r w:rsidRPr="004051B4">
        <w:rPr>
          <w:rFonts w:ascii="Arial Narrow" w:hAnsi="Arial Narrow"/>
        </w:rPr>
        <w:t xml:space="preserve">corpo às políticas de descriminalização (mas não despenalização) do consumo de drogas, a par da manutenção da criminalização do tráfico de droga. O decreto-lei nº 130-A/2001 de 23 de Abril de 2001 </w:t>
      </w:r>
      <w:r w:rsidRPr="004051B4">
        <w:rPr>
          <w:rFonts w:ascii="Arial Narrow" w:hAnsi="Arial Narrow"/>
          <w:i/>
        </w:rPr>
        <w:t>vem “estabelecer a organização, o processo e o regime de funcionamento da comissão para a dissuasão da toxicodependência”</w:t>
      </w:r>
      <w:r w:rsidRPr="004051B4">
        <w:rPr>
          <w:rFonts w:ascii="Arial Narrow" w:hAnsi="Arial Narrow"/>
        </w:rPr>
        <w:t xml:space="preserve">, atribuindo a estas comissões a competência para o </w:t>
      </w:r>
      <w:r w:rsidRPr="004051B4">
        <w:rPr>
          <w:rFonts w:ascii="Arial Narrow" w:hAnsi="Arial Narrow"/>
          <w:i/>
        </w:rPr>
        <w:t xml:space="preserve">“processamento das contra-ordenações e aplicação das respectivas sanções”. </w:t>
      </w:r>
    </w:p>
    <w:p w:rsidR="001755BD" w:rsidRPr="001755BD" w:rsidRDefault="001755BD" w:rsidP="00C10BA7">
      <w:pPr>
        <w:spacing w:line="276" w:lineRule="auto"/>
        <w:jc w:val="both"/>
        <w:rPr>
          <w:rFonts w:ascii="Arial Narrow" w:hAnsi="Arial Narrow"/>
          <w:b/>
        </w:rPr>
      </w:pPr>
      <w:r w:rsidRPr="001755BD">
        <w:rPr>
          <w:rFonts w:ascii="Arial Narrow" w:hAnsi="Arial Narrow"/>
          <w:b/>
        </w:rPr>
        <w:t xml:space="preserve">A descriminalização do consumo </w:t>
      </w:r>
      <w:r w:rsidR="0041702C">
        <w:rPr>
          <w:rFonts w:ascii="Arial Narrow" w:hAnsi="Arial Narrow"/>
          <w:b/>
        </w:rPr>
        <w:t xml:space="preserve">encaminha </w:t>
      </w:r>
      <w:r w:rsidRPr="001755BD">
        <w:rPr>
          <w:rFonts w:ascii="Arial Narrow" w:hAnsi="Arial Narrow"/>
          <w:b/>
        </w:rPr>
        <w:t>os consumidores</w:t>
      </w:r>
      <w:r w:rsidR="00B80F08">
        <w:rPr>
          <w:rFonts w:ascii="Arial Narrow" w:hAnsi="Arial Narrow"/>
          <w:b/>
        </w:rPr>
        <w:t xml:space="preserve"> do sistema de justiça crimina</w:t>
      </w:r>
      <w:r w:rsidR="0037452A">
        <w:rPr>
          <w:rFonts w:ascii="Arial Narrow" w:hAnsi="Arial Narrow"/>
          <w:b/>
        </w:rPr>
        <w:t>l</w:t>
      </w:r>
      <w:r w:rsidRPr="004051B4">
        <w:rPr>
          <w:rFonts w:ascii="Arial Narrow" w:hAnsi="Arial Narrow"/>
        </w:rPr>
        <w:t xml:space="preserve">, </w:t>
      </w:r>
      <w:r w:rsidRPr="001755BD">
        <w:rPr>
          <w:rFonts w:ascii="Arial Narrow" w:hAnsi="Arial Narrow"/>
          <w:b/>
        </w:rPr>
        <w:t>afastando-os dos estigmas de condenações penais</w:t>
      </w:r>
      <w:r w:rsidR="0037452A">
        <w:rPr>
          <w:rFonts w:ascii="Arial Narrow" w:hAnsi="Arial Narrow"/>
          <w:b/>
        </w:rPr>
        <w:t>, para o sistema de saúde pública</w:t>
      </w:r>
      <w:r w:rsidR="00F211E1">
        <w:rPr>
          <w:rFonts w:ascii="Arial Narrow" w:hAnsi="Arial Narrow"/>
          <w:b/>
        </w:rPr>
        <w:t>.</w:t>
      </w:r>
      <w:r w:rsidR="00C10BA7">
        <w:rPr>
          <w:rFonts w:ascii="Arial Narrow" w:hAnsi="Arial Narrow"/>
          <w:b/>
        </w:rPr>
        <w:t xml:space="preserve"> </w:t>
      </w:r>
      <w:r w:rsidR="0041702C">
        <w:rPr>
          <w:rFonts w:ascii="Arial Narrow" w:hAnsi="Arial Narrow"/>
        </w:rPr>
        <w:t>Base</w:t>
      </w:r>
      <w:r w:rsidR="0041702C" w:rsidRPr="004051B4">
        <w:rPr>
          <w:rFonts w:ascii="Arial Narrow" w:hAnsi="Arial Narrow"/>
        </w:rPr>
        <w:t>an</w:t>
      </w:r>
      <w:r w:rsidR="0041702C">
        <w:rPr>
          <w:rFonts w:ascii="Arial Narrow" w:hAnsi="Arial Narrow"/>
        </w:rPr>
        <w:t>do-se</w:t>
      </w:r>
      <w:r w:rsidR="00C10BA7" w:rsidRPr="004051B4">
        <w:rPr>
          <w:rFonts w:ascii="Arial Narrow" w:hAnsi="Arial Narrow"/>
        </w:rPr>
        <w:t xml:space="preserve"> no princípio </w:t>
      </w:r>
      <w:r w:rsidR="00C10BA7" w:rsidRPr="004051B4">
        <w:rPr>
          <w:rFonts w:ascii="Arial Narrow" w:hAnsi="Arial Narrow"/>
          <w:i/>
        </w:rPr>
        <w:t>“antes tratar que punir”</w:t>
      </w:r>
      <w:r w:rsidR="00C10BA7">
        <w:rPr>
          <w:rFonts w:ascii="Arial Narrow" w:hAnsi="Arial Narrow"/>
          <w:i/>
        </w:rPr>
        <w:t xml:space="preserve">, os infratores </w:t>
      </w:r>
      <w:r w:rsidR="00C10BA7">
        <w:rPr>
          <w:rFonts w:ascii="Arial Narrow" w:hAnsi="Arial Narrow"/>
        </w:rPr>
        <w:t>com</w:t>
      </w:r>
      <w:r w:rsidR="00C10BA7">
        <w:rPr>
          <w:rFonts w:ascii="Arial Narrow" w:hAnsi="Arial Narrow"/>
          <w:i/>
        </w:rPr>
        <w:t xml:space="preserve"> posse e/ou consumo de drogas ilícitas, s</w:t>
      </w:r>
      <w:r w:rsidR="0041702C">
        <w:rPr>
          <w:rFonts w:ascii="Arial Narrow" w:hAnsi="Arial Narrow"/>
          <w:i/>
        </w:rPr>
        <w:t>ão encaminhados</w:t>
      </w:r>
      <w:r w:rsidR="00C10BA7">
        <w:rPr>
          <w:rFonts w:ascii="Arial Narrow" w:hAnsi="Arial Narrow"/>
          <w:i/>
        </w:rPr>
        <w:t xml:space="preserve"> para autoridades competentes através de um sistema que os coloca em contacto</w:t>
      </w:r>
      <w:r w:rsidR="00C10BA7">
        <w:rPr>
          <w:rFonts w:ascii="Arial Narrow" w:hAnsi="Arial Narrow"/>
          <w:b/>
        </w:rPr>
        <w:t xml:space="preserve"> com</w:t>
      </w:r>
      <w:r w:rsidR="00F211E1">
        <w:rPr>
          <w:rFonts w:ascii="Arial Narrow" w:hAnsi="Arial Narrow"/>
          <w:b/>
        </w:rPr>
        <w:t xml:space="preserve"> </w:t>
      </w:r>
      <w:r w:rsidRPr="001755BD">
        <w:rPr>
          <w:rFonts w:ascii="Arial Narrow" w:hAnsi="Arial Narrow"/>
          <w:b/>
        </w:rPr>
        <w:t xml:space="preserve">serviços de apoio especializados, nomeadamente serviços de saúde, serviços sociais, serviços de formação, serviços de emprego. </w:t>
      </w:r>
    </w:p>
    <w:p w:rsidR="00DD1399" w:rsidRDefault="001755BD" w:rsidP="001755BD">
      <w:pPr>
        <w:spacing w:line="276" w:lineRule="auto"/>
        <w:jc w:val="both"/>
        <w:rPr>
          <w:rFonts w:ascii="Arial Narrow" w:hAnsi="Arial Narrow"/>
        </w:rPr>
      </w:pPr>
      <w:r w:rsidRPr="0037452A">
        <w:rPr>
          <w:rFonts w:ascii="Arial Narrow" w:hAnsi="Arial Narrow"/>
        </w:rPr>
        <w:t>As CDT’s são plataformas mediadoras</w:t>
      </w:r>
      <w:r w:rsidR="003220F8" w:rsidRPr="0037452A">
        <w:rPr>
          <w:rFonts w:ascii="Arial Narrow" w:hAnsi="Arial Narrow"/>
        </w:rPr>
        <w:t>, sob a tutela do Ministério da Saúde,</w:t>
      </w:r>
      <w:r w:rsidRPr="0037452A">
        <w:rPr>
          <w:rFonts w:ascii="Arial Narrow" w:hAnsi="Arial Narrow"/>
        </w:rPr>
        <w:t xml:space="preserve"> estabelecida</w:t>
      </w:r>
      <w:r w:rsidR="00E76282" w:rsidRPr="0037452A">
        <w:rPr>
          <w:rFonts w:ascii="Arial Narrow" w:hAnsi="Arial Narrow"/>
        </w:rPr>
        <w:t>s ao nível das respostas locais</w:t>
      </w:r>
      <w:r w:rsidRPr="0037452A">
        <w:rPr>
          <w:rFonts w:ascii="Arial Narrow" w:hAnsi="Arial Narrow"/>
        </w:rPr>
        <w:t xml:space="preserve"> </w:t>
      </w:r>
      <w:r w:rsidR="00F211E1" w:rsidRPr="0037452A">
        <w:rPr>
          <w:rFonts w:ascii="Arial Narrow" w:hAnsi="Arial Narrow"/>
        </w:rPr>
        <w:t>para</w:t>
      </w:r>
      <w:r w:rsidR="003220F8" w:rsidRPr="0037452A">
        <w:rPr>
          <w:rFonts w:ascii="Arial Narrow" w:hAnsi="Arial Narrow"/>
        </w:rPr>
        <w:t xml:space="preserve"> determinar o nível de necessidade e o tipo de serviços indicados para cada pessoa</w:t>
      </w:r>
      <w:r w:rsidR="00E76626" w:rsidRPr="0037452A">
        <w:rPr>
          <w:rFonts w:ascii="Arial Narrow" w:hAnsi="Arial Narrow"/>
        </w:rPr>
        <w:t>, que</w:t>
      </w:r>
      <w:r w:rsidR="003220F8" w:rsidRPr="0037452A">
        <w:rPr>
          <w:rFonts w:ascii="Arial Narrow" w:hAnsi="Arial Narrow"/>
        </w:rPr>
        <w:t xml:space="preserve"> podem ser encaminhada</w:t>
      </w:r>
      <w:r w:rsidR="00E76282" w:rsidRPr="0037452A">
        <w:rPr>
          <w:rFonts w:ascii="Arial Narrow" w:hAnsi="Arial Narrow"/>
        </w:rPr>
        <w:t>s</w:t>
      </w:r>
      <w:r w:rsidR="003220F8" w:rsidRPr="0037452A">
        <w:rPr>
          <w:rFonts w:ascii="Arial Narrow" w:hAnsi="Arial Narrow"/>
        </w:rPr>
        <w:t xml:space="preserve"> pelas autoridades competentes, tal como a polícia ou/e tribunais. As CDT’s oferecem</w:t>
      </w:r>
      <w:r w:rsidR="00F211E1" w:rsidRPr="0037452A">
        <w:rPr>
          <w:rFonts w:ascii="Arial Narrow" w:hAnsi="Arial Narrow"/>
        </w:rPr>
        <w:t xml:space="preserve"> </w:t>
      </w:r>
      <w:r w:rsidR="00DD1399" w:rsidRPr="0037452A">
        <w:rPr>
          <w:rFonts w:ascii="Arial Narrow" w:hAnsi="Arial Narrow"/>
        </w:rPr>
        <w:t xml:space="preserve">aconselhamento com base num processo de avaliação do perfil do consumidor, que lhes permite perspectivar se </w:t>
      </w:r>
      <w:r w:rsidR="00E76282" w:rsidRPr="0037452A">
        <w:rPr>
          <w:rFonts w:ascii="Arial Narrow" w:hAnsi="Arial Narrow"/>
        </w:rPr>
        <w:t xml:space="preserve">tem um </w:t>
      </w:r>
      <w:r w:rsidR="00DD1399" w:rsidRPr="0037452A">
        <w:rPr>
          <w:rFonts w:ascii="Arial Narrow" w:hAnsi="Arial Narrow"/>
        </w:rPr>
        <w:t>perf</w:t>
      </w:r>
      <w:r w:rsidR="00E76282" w:rsidRPr="0037452A">
        <w:rPr>
          <w:rFonts w:ascii="Arial Narrow" w:hAnsi="Arial Narrow"/>
        </w:rPr>
        <w:t>il de risco Baixo, Moderado ou</w:t>
      </w:r>
      <w:r w:rsidR="00DD1399" w:rsidRPr="0037452A">
        <w:rPr>
          <w:rFonts w:ascii="Arial Narrow" w:hAnsi="Arial Narrow"/>
        </w:rPr>
        <w:t xml:space="preserve"> Alto Risco</w:t>
      </w:r>
      <w:r w:rsidR="00E76282" w:rsidRPr="0037452A">
        <w:rPr>
          <w:rFonts w:ascii="Arial Narrow" w:hAnsi="Arial Narrow"/>
        </w:rPr>
        <w:t>, e encaminha os consumidores que precisam para os diversos serviços com os quais as CDT’s possuem parcerias</w:t>
      </w:r>
      <w:r w:rsidR="00E76626" w:rsidRPr="0037452A">
        <w:rPr>
          <w:rFonts w:ascii="Arial Narrow" w:hAnsi="Arial Narrow"/>
        </w:rPr>
        <w:t xml:space="preserve">. </w:t>
      </w:r>
      <w:r w:rsidR="00E76282" w:rsidRPr="0037452A">
        <w:rPr>
          <w:rFonts w:ascii="Arial Narrow" w:hAnsi="Arial Narrow"/>
        </w:rPr>
        <w:t xml:space="preserve">Existem </w:t>
      </w:r>
      <w:r w:rsidRPr="0037452A">
        <w:rPr>
          <w:rFonts w:ascii="Arial Narrow" w:hAnsi="Arial Narrow"/>
        </w:rPr>
        <w:t xml:space="preserve">redes </w:t>
      </w:r>
      <w:r w:rsidRPr="0037452A">
        <w:rPr>
          <w:rFonts w:ascii="Arial Narrow" w:hAnsi="Arial Narrow"/>
        </w:rPr>
        <w:lastRenderedPageBreak/>
        <w:t>interinstitucionais de parceria local</w:t>
      </w:r>
      <w:r w:rsidR="00F211E1" w:rsidRPr="0037452A">
        <w:rPr>
          <w:rFonts w:ascii="Arial Narrow" w:hAnsi="Arial Narrow"/>
        </w:rPr>
        <w:t xml:space="preserve">, valorizando e mobilizando </w:t>
      </w:r>
      <w:r w:rsidRPr="0037452A">
        <w:rPr>
          <w:rFonts w:ascii="Arial Narrow" w:hAnsi="Arial Narrow"/>
        </w:rPr>
        <w:t>os recursos comunitários existentes que possam contribuir para a</w:t>
      </w:r>
      <w:r w:rsidR="00E76282" w:rsidRPr="0037452A">
        <w:rPr>
          <w:rFonts w:ascii="Arial Narrow" w:hAnsi="Arial Narrow"/>
        </w:rPr>
        <w:t>os princípios da sua intervenção</w:t>
      </w:r>
      <w:r w:rsidR="00E76626" w:rsidRPr="0037452A">
        <w:rPr>
          <w:rFonts w:ascii="Arial Narrow" w:hAnsi="Arial Narrow"/>
        </w:rPr>
        <w:t xml:space="preserve"> de dissuasão e/ou prevenção</w:t>
      </w:r>
      <w:r w:rsidRPr="0037452A">
        <w:rPr>
          <w:rFonts w:ascii="Arial Narrow" w:hAnsi="Arial Narrow"/>
        </w:rPr>
        <w:t>.</w:t>
      </w:r>
      <w:r w:rsidRPr="004051B4">
        <w:rPr>
          <w:rFonts w:ascii="Arial Narrow" w:hAnsi="Arial Narrow"/>
        </w:rPr>
        <w:t xml:space="preserve"> </w:t>
      </w:r>
      <w:r w:rsidR="00E76626">
        <w:rPr>
          <w:rFonts w:ascii="Arial Narrow" w:hAnsi="Arial Narrow"/>
        </w:rPr>
        <w:t>As CDT’s s</w:t>
      </w:r>
      <w:r w:rsidRPr="004051B4">
        <w:rPr>
          <w:rFonts w:ascii="Arial Narrow" w:hAnsi="Arial Narrow"/>
        </w:rPr>
        <w:t xml:space="preserve">ão uma resposta </w:t>
      </w:r>
      <w:r w:rsidR="00E76282">
        <w:rPr>
          <w:rFonts w:ascii="Arial Narrow" w:hAnsi="Arial Narrow"/>
        </w:rPr>
        <w:t>com base na</w:t>
      </w:r>
      <w:r w:rsidR="00E76626">
        <w:rPr>
          <w:rFonts w:ascii="Arial Narrow" w:hAnsi="Arial Narrow"/>
        </w:rPr>
        <w:t xml:space="preserve"> co-</w:t>
      </w:r>
      <w:r w:rsidR="00DF3F73">
        <w:rPr>
          <w:rFonts w:ascii="Arial Narrow" w:hAnsi="Arial Narrow"/>
        </w:rPr>
        <w:t>r</w:t>
      </w:r>
      <w:r w:rsidRPr="004051B4">
        <w:rPr>
          <w:rFonts w:ascii="Arial Narrow" w:hAnsi="Arial Narrow"/>
        </w:rPr>
        <w:t xml:space="preserve">esponsabilização dos indivíduos na procura de alternativas </w:t>
      </w:r>
      <w:r w:rsidR="00E76282">
        <w:rPr>
          <w:rFonts w:ascii="Arial Narrow" w:hAnsi="Arial Narrow"/>
        </w:rPr>
        <w:t>e d</w:t>
      </w:r>
      <w:r w:rsidR="00DF3F73">
        <w:rPr>
          <w:rFonts w:ascii="Arial Narrow" w:hAnsi="Arial Narrow"/>
        </w:rPr>
        <w:t xml:space="preserve">e empoderamento. </w:t>
      </w:r>
    </w:p>
    <w:p w:rsidR="001755BD" w:rsidRPr="004051B4" w:rsidRDefault="001755BD" w:rsidP="001755BD">
      <w:pPr>
        <w:spacing w:line="276" w:lineRule="auto"/>
        <w:jc w:val="both"/>
        <w:rPr>
          <w:rFonts w:ascii="Arial Narrow" w:hAnsi="Arial Narrow"/>
        </w:rPr>
      </w:pPr>
      <w:r w:rsidRPr="004051B4">
        <w:rPr>
          <w:rFonts w:ascii="Arial Narrow" w:hAnsi="Arial Narrow"/>
        </w:rPr>
        <w:t>Existem 18 CDT’s em Portugal Continental e Regiões Autónomas da Madeira e Açores, uma CDT por capital de distrito</w:t>
      </w:r>
      <w:r w:rsidR="00763897">
        <w:rPr>
          <w:rFonts w:ascii="Arial Narrow" w:hAnsi="Arial Narrow"/>
        </w:rPr>
        <w:t>, cobrindo todo o território nacional</w:t>
      </w:r>
      <w:r w:rsidRPr="004051B4">
        <w:rPr>
          <w:rFonts w:ascii="Arial Narrow" w:hAnsi="Arial Narrow"/>
        </w:rPr>
        <w:t>. A sua constituição é composta por três membros (na prática a maioria é constituída por dois membros) nomeados pelo Ministério da Saúde e da Justiça, que têm a competência de aplicação da lei, tendo em conta princípios de promoção da saúde e da dissuasão do consumo. Existe tamb</w:t>
      </w:r>
      <w:r w:rsidR="00763897">
        <w:rPr>
          <w:rFonts w:ascii="Arial Narrow" w:hAnsi="Arial Narrow"/>
        </w:rPr>
        <w:t xml:space="preserve">ém uma equipa técnica de apoio </w:t>
      </w:r>
      <w:r w:rsidRPr="004051B4">
        <w:rPr>
          <w:rFonts w:ascii="Arial Narrow" w:hAnsi="Arial Narrow"/>
        </w:rPr>
        <w:t>multidisciplinar</w:t>
      </w:r>
      <w:r w:rsidR="00763897">
        <w:rPr>
          <w:rFonts w:ascii="Arial Narrow" w:hAnsi="Arial Narrow"/>
        </w:rPr>
        <w:t>,</w:t>
      </w:r>
      <w:r w:rsidRPr="004051B4">
        <w:rPr>
          <w:rFonts w:ascii="Arial Narrow" w:hAnsi="Arial Narrow"/>
        </w:rPr>
        <w:t xml:space="preserve"> constituída por psicólogos clíni</w:t>
      </w:r>
      <w:r w:rsidR="00763897">
        <w:rPr>
          <w:rFonts w:ascii="Arial Narrow" w:hAnsi="Arial Narrow"/>
        </w:rPr>
        <w:t>cos, técnicos de serviço social</w:t>
      </w:r>
      <w:r w:rsidRPr="004051B4">
        <w:rPr>
          <w:rFonts w:ascii="Arial Narrow" w:hAnsi="Arial Narrow"/>
        </w:rPr>
        <w:t>, juristas</w:t>
      </w:r>
      <w:r w:rsidR="00763897">
        <w:rPr>
          <w:rFonts w:ascii="Arial Narrow" w:hAnsi="Arial Narrow"/>
        </w:rPr>
        <w:t>, sociólogos,</w:t>
      </w:r>
      <w:r w:rsidRPr="004051B4">
        <w:rPr>
          <w:rFonts w:ascii="Arial Narrow" w:hAnsi="Arial Narrow"/>
        </w:rPr>
        <w:t xml:space="preserve"> administrativos, que por sua vez têm a competência de proceder a todas as diligências preparatórias da decisão</w:t>
      </w:r>
      <w:r w:rsidR="00763897">
        <w:rPr>
          <w:rFonts w:ascii="Arial Narrow" w:hAnsi="Arial Narrow"/>
        </w:rPr>
        <w:t>: fazem</w:t>
      </w:r>
      <w:r w:rsidRPr="004051B4">
        <w:rPr>
          <w:rFonts w:ascii="Arial Narrow" w:hAnsi="Arial Narrow"/>
        </w:rPr>
        <w:t xml:space="preserve"> </w:t>
      </w:r>
      <w:r w:rsidR="00763897">
        <w:rPr>
          <w:rFonts w:ascii="Arial Narrow" w:hAnsi="Arial Narrow"/>
        </w:rPr>
        <w:t>um</w:t>
      </w:r>
      <w:r w:rsidRPr="004051B4">
        <w:rPr>
          <w:rFonts w:ascii="Arial Narrow" w:hAnsi="Arial Narrow"/>
        </w:rPr>
        <w:t xml:space="preserve"> diagnóstico psicossocial</w:t>
      </w:r>
      <w:r w:rsidR="00763897">
        <w:rPr>
          <w:rFonts w:ascii="Arial Narrow" w:hAnsi="Arial Narrow"/>
        </w:rPr>
        <w:t xml:space="preserve"> personalizado e detalhado</w:t>
      </w:r>
      <w:r w:rsidRPr="004051B4">
        <w:rPr>
          <w:rFonts w:ascii="Arial Narrow" w:hAnsi="Arial Narrow"/>
        </w:rPr>
        <w:t xml:space="preserve">, </w:t>
      </w:r>
      <w:r w:rsidR="00763897">
        <w:rPr>
          <w:rFonts w:ascii="Arial Narrow" w:hAnsi="Arial Narrow"/>
        </w:rPr>
        <w:t>avaliam a</w:t>
      </w:r>
      <w:r w:rsidRPr="004051B4">
        <w:rPr>
          <w:rFonts w:ascii="Arial Narrow" w:hAnsi="Arial Narrow"/>
        </w:rPr>
        <w:t xml:space="preserve"> motivação para acompanhamento especializado, facilita</w:t>
      </w:r>
      <w:r w:rsidR="00763897">
        <w:rPr>
          <w:rFonts w:ascii="Arial Narrow" w:hAnsi="Arial Narrow"/>
        </w:rPr>
        <w:t>m</w:t>
      </w:r>
      <w:r w:rsidRPr="004051B4">
        <w:rPr>
          <w:rFonts w:ascii="Arial Narrow" w:hAnsi="Arial Narrow"/>
        </w:rPr>
        <w:t xml:space="preserve"> as ligações com as estruturas de apoio, cria</w:t>
      </w:r>
      <w:r w:rsidR="00763897">
        <w:rPr>
          <w:rFonts w:ascii="Arial Narrow" w:hAnsi="Arial Narrow"/>
        </w:rPr>
        <w:t>m</w:t>
      </w:r>
      <w:r w:rsidRPr="004051B4">
        <w:rPr>
          <w:rFonts w:ascii="Arial Narrow" w:hAnsi="Arial Narrow"/>
        </w:rPr>
        <w:t xml:space="preserve"> uma abordagem preventiva</w:t>
      </w:r>
      <w:r w:rsidR="00DE726D">
        <w:rPr>
          <w:rFonts w:ascii="Arial Narrow" w:hAnsi="Arial Narrow"/>
        </w:rPr>
        <w:t xml:space="preserve"> para cada pessoa</w:t>
      </w:r>
      <w:r w:rsidR="00763897">
        <w:rPr>
          <w:rFonts w:ascii="Arial Narrow" w:hAnsi="Arial Narrow"/>
        </w:rPr>
        <w:t>,</w:t>
      </w:r>
      <w:r w:rsidRPr="004051B4">
        <w:rPr>
          <w:rFonts w:ascii="Arial Narrow" w:hAnsi="Arial Narrow"/>
        </w:rPr>
        <w:t xml:space="preserve"> informando</w:t>
      </w:r>
      <w:r w:rsidR="00763897">
        <w:rPr>
          <w:rFonts w:ascii="Arial Narrow" w:hAnsi="Arial Narrow"/>
        </w:rPr>
        <w:t xml:space="preserve"> e </w:t>
      </w:r>
      <w:r w:rsidRPr="004051B4">
        <w:rPr>
          <w:rFonts w:ascii="Arial Narrow" w:hAnsi="Arial Narrow"/>
        </w:rPr>
        <w:t>sensibilizando sobre os riscos d</w:t>
      </w:r>
      <w:r w:rsidR="00DE726D">
        <w:rPr>
          <w:rFonts w:ascii="Arial Narrow" w:hAnsi="Arial Narrow"/>
        </w:rPr>
        <w:t xml:space="preserve">os diferentes tipos de consumo. </w:t>
      </w:r>
    </w:p>
    <w:p w:rsidR="00BB7B56" w:rsidRPr="004051B4" w:rsidRDefault="009D6917" w:rsidP="0033259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 maioria das</w:t>
      </w:r>
      <w:r w:rsidR="001755BD" w:rsidRPr="004051B4">
        <w:rPr>
          <w:rFonts w:ascii="Arial Narrow" w:hAnsi="Arial Narrow"/>
        </w:rPr>
        <w:t xml:space="preserve"> pessoas chegam às CDT’s através das entidades policiais</w:t>
      </w:r>
      <w:r w:rsidR="00763897">
        <w:rPr>
          <w:rFonts w:ascii="Arial Narrow" w:hAnsi="Arial Narrow"/>
        </w:rPr>
        <w:t>. Face ao</w:t>
      </w:r>
      <w:r w:rsidR="001755BD" w:rsidRPr="004051B4">
        <w:rPr>
          <w:rFonts w:ascii="Arial Narrow" w:hAnsi="Arial Narrow"/>
        </w:rPr>
        <w:t xml:space="preserve"> conhecimento </w:t>
      </w:r>
      <w:r w:rsidR="00763897">
        <w:rPr>
          <w:rFonts w:ascii="Arial Narrow" w:hAnsi="Arial Narrow"/>
        </w:rPr>
        <w:t>de práticas de delitos não criminalizados de uso e poss</w:t>
      </w:r>
      <w:r w:rsidR="0037452A">
        <w:rPr>
          <w:rFonts w:ascii="Arial Narrow" w:hAnsi="Arial Narrow"/>
        </w:rPr>
        <w:t>e</w:t>
      </w:r>
      <w:r w:rsidR="00763897">
        <w:rPr>
          <w:rFonts w:ascii="Arial Narrow" w:hAnsi="Arial Narrow"/>
        </w:rPr>
        <w:t xml:space="preserve"> de drogas</w:t>
      </w:r>
      <w:r w:rsidR="00763897" w:rsidRPr="00763897">
        <w:rPr>
          <w:rFonts w:ascii="Arial Narrow" w:hAnsi="Arial Narrow"/>
        </w:rPr>
        <w:t xml:space="preserve"> </w:t>
      </w:r>
      <w:r w:rsidR="00763897" w:rsidRPr="004051B4">
        <w:rPr>
          <w:rFonts w:ascii="Arial Narrow" w:hAnsi="Arial Narrow"/>
        </w:rPr>
        <w:t>ilícitas</w:t>
      </w:r>
      <w:r w:rsidR="00763897">
        <w:rPr>
          <w:rFonts w:ascii="Arial Narrow" w:hAnsi="Arial Narrow"/>
        </w:rPr>
        <w:t xml:space="preserve">, as polícias devem aplicar medidas </w:t>
      </w:r>
      <w:r w:rsidR="001755BD" w:rsidRPr="004051B4">
        <w:rPr>
          <w:rFonts w:ascii="Arial Narrow" w:hAnsi="Arial Narrow"/>
        </w:rPr>
        <w:t>de contra-</w:t>
      </w:r>
      <w:r w:rsidR="00763897">
        <w:rPr>
          <w:rFonts w:ascii="Arial Narrow" w:hAnsi="Arial Narrow"/>
        </w:rPr>
        <w:t>ordenação</w:t>
      </w:r>
      <w:r w:rsidR="001755BD" w:rsidRPr="004051B4">
        <w:rPr>
          <w:rFonts w:ascii="Arial Narrow" w:hAnsi="Arial Narrow"/>
        </w:rPr>
        <w:t xml:space="preserve"> prevista</w:t>
      </w:r>
      <w:r w:rsidR="0037452A">
        <w:rPr>
          <w:rFonts w:ascii="Arial Narrow" w:hAnsi="Arial Narrow"/>
        </w:rPr>
        <w:t>s</w:t>
      </w:r>
      <w:r w:rsidR="001755BD" w:rsidRPr="004051B4">
        <w:rPr>
          <w:rFonts w:ascii="Arial Narrow" w:hAnsi="Arial Narrow"/>
        </w:rPr>
        <w:t xml:space="preserve"> na “lei da descriminalização”</w:t>
      </w:r>
      <w:r w:rsidR="00763897">
        <w:rPr>
          <w:rFonts w:ascii="Arial Narrow" w:hAnsi="Arial Narrow"/>
        </w:rPr>
        <w:t>. E</w:t>
      </w:r>
      <w:r w:rsidR="001755BD" w:rsidRPr="004051B4">
        <w:rPr>
          <w:rFonts w:ascii="Arial Narrow" w:hAnsi="Arial Narrow"/>
        </w:rPr>
        <w:t>laboram autos de ocorrência e enviam-nos às CDT’s o mais rápido possível. Posteriormente a pessoa indiciada é notificada para se apresentar na CDT territorialmente mais próxima, num máximo de 72</w:t>
      </w:r>
      <w:r w:rsidR="00763897">
        <w:rPr>
          <w:rFonts w:ascii="Arial Narrow" w:hAnsi="Arial Narrow"/>
        </w:rPr>
        <w:t xml:space="preserve"> </w:t>
      </w:r>
      <w:r w:rsidR="001755BD" w:rsidRPr="004051B4">
        <w:rPr>
          <w:rFonts w:ascii="Arial Narrow" w:hAnsi="Arial Narrow"/>
        </w:rPr>
        <w:t>horas depois da ocorrência. Em situações excepcionais, nomeadamente quando não é possível identificar a pessoa ou conhecer a sua morada no momento da contra-ordenação, esta pode ser apresentad</w:t>
      </w:r>
      <w:r w:rsidR="0037452A">
        <w:rPr>
          <w:rFonts w:ascii="Arial Narrow" w:hAnsi="Arial Narrow"/>
        </w:rPr>
        <w:t>a</w:t>
      </w:r>
      <w:r w:rsidR="001755BD" w:rsidRPr="004051B4">
        <w:rPr>
          <w:rFonts w:ascii="Arial Narrow" w:hAnsi="Arial Narrow"/>
        </w:rPr>
        <w:t xml:space="preserve"> </w:t>
      </w:r>
      <w:r w:rsidR="00763897">
        <w:rPr>
          <w:rFonts w:ascii="Arial Narrow" w:hAnsi="Arial Narrow"/>
        </w:rPr>
        <w:t xml:space="preserve">pela polícia </w:t>
      </w:r>
      <w:r w:rsidR="001755BD" w:rsidRPr="004051B4">
        <w:rPr>
          <w:rFonts w:ascii="Arial Narrow" w:hAnsi="Arial Narrow"/>
        </w:rPr>
        <w:t>à CDT imediatamente a seguir à ocorrência</w:t>
      </w:r>
      <w:r w:rsidR="00763897">
        <w:rPr>
          <w:rFonts w:ascii="Arial Narrow" w:hAnsi="Arial Narrow"/>
        </w:rPr>
        <w:t xml:space="preserve">. Embora nem todos os </w:t>
      </w:r>
      <w:r w:rsidR="001755BD" w:rsidRPr="004051B4">
        <w:rPr>
          <w:rFonts w:ascii="Arial Narrow" w:hAnsi="Arial Narrow"/>
        </w:rPr>
        <w:t xml:space="preserve">CDT </w:t>
      </w:r>
      <w:r w:rsidR="00763897">
        <w:rPr>
          <w:rFonts w:ascii="Arial Narrow" w:hAnsi="Arial Narrow"/>
        </w:rPr>
        <w:t>disponham de</w:t>
      </w:r>
      <w:r w:rsidR="001755BD" w:rsidRPr="004051B4">
        <w:rPr>
          <w:rFonts w:ascii="Arial Narrow" w:hAnsi="Arial Narrow"/>
        </w:rPr>
        <w:t xml:space="preserve"> atendimento</w:t>
      </w:r>
      <w:r w:rsidR="00763897" w:rsidRPr="00763897">
        <w:rPr>
          <w:rFonts w:ascii="Arial Narrow" w:hAnsi="Arial Narrow"/>
        </w:rPr>
        <w:t xml:space="preserve"> </w:t>
      </w:r>
      <w:r w:rsidR="00763897" w:rsidRPr="004051B4">
        <w:rPr>
          <w:rFonts w:ascii="Arial Narrow" w:hAnsi="Arial Narrow"/>
        </w:rPr>
        <w:t>permanente</w:t>
      </w:r>
      <w:r w:rsidR="00763897">
        <w:rPr>
          <w:rFonts w:ascii="Arial Narrow" w:hAnsi="Arial Narrow"/>
        </w:rPr>
        <w:t>, o que é uma limitação nestes casos</w:t>
      </w:r>
      <w:r w:rsidR="001755BD" w:rsidRPr="004051B4">
        <w:rPr>
          <w:rFonts w:ascii="Arial Narrow" w:hAnsi="Arial Narrow"/>
        </w:rPr>
        <w:t xml:space="preserve">. </w:t>
      </w:r>
      <w:r w:rsidR="001755BD" w:rsidRPr="001755BD">
        <w:rPr>
          <w:rFonts w:ascii="Arial Narrow" w:hAnsi="Arial Narrow"/>
          <w:b/>
        </w:rPr>
        <w:t>Contudo,</w:t>
      </w:r>
      <w:r>
        <w:rPr>
          <w:rFonts w:ascii="Arial Narrow" w:hAnsi="Arial Narrow"/>
          <w:b/>
        </w:rPr>
        <w:t xml:space="preserve"> no que é uma efectiva alternativa  à prisão, também chegam </w:t>
      </w:r>
      <w:r w:rsidR="001755BD" w:rsidRPr="001755BD">
        <w:rPr>
          <w:rFonts w:ascii="Arial Narrow" w:hAnsi="Arial Narrow"/>
          <w:b/>
        </w:rPr>
        <w:t>a estas comissões pessoas</w:t>
      </w:r>
      <w:r>
        <w:rPr>
          <w:rFonts w:ascii="Arial Narrow" w:hAnsi="Arial Narrow"/>
          <w:b/>
        </w:rPr>
        <w:t xml:space="preserve"> encaminhadas</w:t>
      </w:r>
      <w:r w:rsidR="001755BD" w:rsidRPr="001755BD">
        <w:rPr>
          <w:rFonts w:ascii="Arial Narrow" w:hAnsi="Arial Narrow"/>
          <w:b/>
        </w:rPr>
        <w:t xml:space="preserve"> pelos tribunais</w:t>
      </w:r>
      <w:r>
        <w:rPr>
          <w:rFonts w:ascii="Arial Narrow" w:hAnsi="Arial Narrow"/>
          <w:b/>
        </w:rPr>
        <w:t xml:space="preserve"> e pelo Ministério Público</w:t>
      </w:r>
      <w:r w:rsidR="0076389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Isto acontece </w:t>
      </w:r>
      <w:r w:rsidR="0037452A">
        <w:rPr>
          <w:rFonts w:ascii="Arial Narrow" w:hAnsi="Arial Narrow"/>
          <w:b/>
        </w:rPr>
        <w:t>nas</w:t>
      </w:r>
      <w:r>
        <w:rPr>
          <w:rFonts w:ascii="Arial Narrow" w:hAnsi="Arial Narrow"/>
          <w:b/>
        </w:rPr>
        <w:t xml:space="preserve"> situações em que as pessoas </w:t>
      </w:r>
      <w:r w:rsidR="001755BD" w:rsidRPr="001755BD">
        <w:rPr>
          <w:rFonts w:ascii="Arial Narrow" w:hAnsi="Arial Narrow"/>
          <w:b/>
        </w:rPr>
        <w:t>cometeram um crime</w:t>
      </w:r>
      <w:r>
        <w:rPr>
          <w:rFonts w:ascii="Arial Narrow" w:hAnsi="Arial Narrow"/>
          <w:b/>
        </w:rPr>
        <w:t xml:space="preserve"> (geralmente por posse em excesso do montante permitido pela lei da descriminalização)</w:t>
      </w:r>
      <w:r w:rsidR="001755BD" w:rsidRPr="001755BD">
        <w:rPr>
          <w:rFonts w:ascii="Arial Narrow" w:hAnsi="Arial Narrow"/>
          <w:b/>
        </w:rPr>
        <w:t xml:space="preserve"> mas que o</w:t>
      </w:r>
      <w:r w:rsidR="00BB7B56">
        <w:rPr>
          <w:rFonts w:ascii="Arial Narrow" w:hAnsi="Arial Narrow"/>
          <w:b/>
        </w:rPr>
        <w:t xml:space="preserve"> Ministério Público ou o Tribunal</w:t>
      </w:r>
      <w:r w:rsidR="00763897">
        <w:rPr>
          <w:rFonts w:ascii="Arial Narrow" w:hAnsi="Arial Narrow"/>
          <w:b/>
        </w:rPr>
        <w:t>,</w:t>
      </w:r>
      <w:r w:rsidR="001755BD" w:rsidRPr="001755BD">
        <w:rPr>
          <w:rFonts w:ascii="Arial Narrow" w:hAnsi="Arial Narrow"/>
          <w:b/>
        </w:rPr>
        <w:t xml:space="preserve"> por algum motivo</w:t>
      </w:r>
      <w:r w:rsidR="00763897">
        <w:rPr>
          <w:rFonts w:ascii="Arial Narrow" w:hAnsi="Arial Narrow"/>
          <w:b/>
        </w:rPr>
        <w:t>,</w:t>
      </w:r>
      <w:r w:rsidR="001755BD" w:rsidRPr="001755BD">
        <w:rPr>
          <w:rFonts w:ascii="Arial Narrow" w:hAnsi="Arial Narrow"/>
          <w:b/>
        </w:rPr>
        <w:t xml:space="preserve"> consideraram </w:t>
      </w:r>
      <w:r w:rsidR="00763897">
        <w:rPr>
          <w:rFonts w:ascii="Arial Narrow" w:hAnsi="Arial Narrow"/>
          <w:b/>
        </w:rPr>
        <w:t>ser preferível desmobilizar o processo-crime e remeter o arguido para o sistema</w:t>
      </w:r>
      <w:r w:rsidR="00344B71">
        <w:rPr>
          <w:rFonts w:ascii="Arial Narrow" w:hAnsi="Arial Narrow"/>
          <w:b/>
        </w:rPr>
        <w:t xml:space="preserve"> de saúde pública (CDT’s)</w:t>
      </w:r>
      <w:r w:rsidR="00763897">
        <w:rPr>
          <w:rFonts w:ascii="Arial Narrow" w:hAnsi="Arial Narrow"/>
          <w:b/>
        </w:rPr>
        <w:t>.</w:t>
      </w:r>
      <w:r w:rsidR="00BB7B56">
        <w:rPr>
          <w:rFonts w:ascii="Arial Narrow" w:hAnsi="Arial Narrow"/>
          <w:b/>
        </w:rPr>
        <w:t xml:space="preserve"> </w:t>
      </w:r>
      <w:r w:rsidR="00BB7B56" w:rsidRPr="00BB7B56">
        <w:rPr>
          <w:rFonts w:ascii="Arial Narrow" w:hAnsi="Arial Narrow"/>
        </w:rPr>
        <w:t>Também pode acontecer, e aqui existem um espaço enorme para expandir esta alternativa, nos casos em que o crime cometido teve na sua base o consumo/uso de drogas.</w:t>
      </w:r>
      <w:r w:rsidR="00763897">
        <w:rPr>
          <w:rFonts w:ascii="Arial Narrow" w:hAnsi="Arial Narrow"/>
          <w:b/>
        </w:rPr>
        <w:t xml:space="preserve"> </w:t>
      </w:r>
      <w:r w:rsidR="001755BD" w:rsidRPr="004051B4">
        <w:rPr>
          <w:rFonts w:ascii="Arial Narrow" w:hAnsi="Arial Narrow"/>
        </w:rPr>
        <w:t>Entre 2010 e 2013, as CDT’s receberam em média cerca de 7 879 casos por ano</w:t>
      </w:r>
      <w:r w:rsidR="00763897">
        <w:rPr>
          <w:rFonts w:ascii="Arial Narrow" w:hAnsi="Arial Narrow"/>
        </w:rPr>
        <w:t>,</w:t>
      </w:r>
      <w:r w:rsidR="001755BD" w:rsidRPr="004051B4">
        <w:rPr>
          <w:rFonts w:ascii="Arial Narrow" w:hAnsi="Arial Narrow"/>
        </w:rPr>
        <w:t xml:space="preserve"> dos quais 1 172 (14,9%)</w:t>
      </w:r>
      <w:r w:rsidR="009E1AFD">
        <w:rPr>
          <w:rFonts w:ascii="Arial Narrow" w:hAnsi="Arial Narrow"/>
        </w:rPr>
        <w:t xml:space="preserve"> foram enviados pelos tribunais e/ou Ministério Público.</w:t>
      </w:r>
      <w:r w:rsidR="001755BD" w:rsidRPr="004051B4">
        <w:rPr>
          <w:rFonts w:ascii="Arial Narrow" w:hAnsi="Arial Narrow"/>
        </w:rPr>
        <w:t xml:space="preserve"> </w:t>
      </w:r>
      <w:bookmarkStart w:id="0" w:name="_GoBack"/>
      <w:bookmarkEnd w:id="0"/>
    </w:p>
    <w:p w:rsidR="001755BD" w:rsidRPr="004051B4" w:rsidRDefault="001755BD" w:rsidP="0033259D">
      <w:pPr>
        <w:spacing w:line="276" w:lineRule="auto"/>
        <w:jc w:val="both"/>
        <w:rPr>
          <w:rFonts w:ascii="Arial Narrow" w:hAnsi="Arial Narrow"/>
        </w:rPr>
      </w:pPr>
      <w:r w:rsidRPr="004051B4">
        <w:rPr>
          <w:rFonts w:ascii="Arial Narrow" w:hAnsi="Arial Narrow"/>
        </w:rPr>
        <w:t>A metodologia de intervenção das CDT’s, baseia-se na valorização da avaliação e da motivação dos consumidores para processos de mudança de comportamento, na dissuasão dos consumos, na promoção da saúde, na melhoria da qualidade de vida e na participação a apoios especializados ao nível preventivo, de tratamento ou reinserção. Existem três fases de intervenção:</w:t>
      </w:r>
    </w:p>
    <w:p w:rsidR="001755BD" w:rsidRPr="0051697C" w:rsidRDefault="001755BD" w:rsidP="0033259D">
      <w:pPr>
        <w:spacing w:line="276" w:lineRule="auto"/>
        <w:ind w:left="360"/>
        <w:jc w:val="both"/>
        <w:rPr>
          <w:rFonts w:ascii="Arial Narrow" w:eastAsia="Times New Roman" w:hAnsi="Arial Narrow" w:cs="Arial"/>
          <w:lang w:eastAsia="pt-PT"/>
        </w:rPr>
      </w:pPr>
      <w:r w:rsidRPr="0051697C">
        <w:rPr>
          <w:rFonts w:ascii="Arial Narrow" w:hAnsi="Arial Narrow"/>
        </w:rPr>
        <w:t>Fase I – Avaliação do Indiciado: através de uma entrevista semiestruturada e recolha da anamnese, avaliação da motivação, avaliação dos riscos de consumo do qua constituí a aplicação de um questionário para avaliação do nível de consumo, que pode ser considerado baixo, moderado ou elevado (</w:t>
      </w:r>
      <w:r w:rsidR="006D7D32">
        <w:rPr>
          <w:rFonts w:ascii="Arial Narrow" w:hAnsi="Arial Narrow"/>
        </w:rPr>
        <w:t xml:space="preserve">parte da avaliação utiliza o </w:t>
      </w:r>
      <w:r w:rsidRPr="0051697C">
        <w:rPr>
          <w:rFonts w:ascii="Arial Narrow" w:hAnsi="Arial Narrow"/>
        </w:rPr>
        <w:t xml:space="preserve">questionário ASSIST - </w:t>
      </w:r>
      <w:r w:rsidRPr="0051697C">
        <w:rPr>
          <w:rFonts w:ascii="Arial Narrow" w:eastAsia="Times New Roman" w:hAnsi="Arial Narrow" w:cs="Arial"/>
          <w:i/>
          <w:lang w:eastAsia="pt-PT"/>
        </w:rPr>
        <w:t>Alcohol, Smoking and Substance Involment Screening Test</w:t>
      </w:r>
      <w:r w:rsidRPr="0051697C">
        <w:rPr>
          <w:rFonts w:ascii="Arial Narrow" w:eastAsia="Times New Roman" w:hAnsi="Arial Narrow" w:cs="Arial"/>
          <w:lang w:eastAsia="pt-PT"/>
        </w:rPr>
        <w:t>);</w:t>
      </w:r>
    </w:p>
    <w:p w:rsidR="001755BD" w:rsidRPr="0051697C" w:rsidRDefault="001755BD" w:rsidP="0033259D">
      <w:pPr>
        <w:spacing w:line="276" w:lineRule="auto"/>
        <w:ind w:left="360"/>
        <w:jc w:val="both"/>
        <w:rPr>
          <w:rFonts w:ascii="Arial Narrow" w:eastAsia="Times New Roman" w:hAnsi="Arial Narrow" w:cs="Arial"/>
          <w:lang w:eastAsia="pt-PT"/>
        </w:rPr>
      </w:pPr>
      <w:r w:rsidRPr="0051697C">
        <w:rPr>
          <w:rFonts w:ascii="Arial Narrow" w:eastAsia="Times New Roman" w:hAnsi="Arial Narrow" w:cs="Arial"/>
          <w:lang w:eastAsia="pt-PT"/>
        </w:rPr>
        <w:t xml:space="preserve">Fase II - Intervenção Motivacional adequadas às necessidades dos indiciados; </w:t>
      </w:r>
    </w:p>
    <w:p w:rsidR="001755BD" w:rsidRPr="0051697C" w:rsidRDefault="001755BD" w:rsidP="0033259D">
      <w:pPr>
        <w:spacing w:after="0" w:line="276" w:lineRule="auto"/>
        <w:ind w:left="360"/>
        <w:jc w:val="both"/>
        <w:rPr>
          <w:rFonts w:ascii="Arial Narrow" w:eastAsia="Times New Roman" w:hAnsi="Arial Narrow" w:cs="Arial"/>
          <w:lang w:eastAsia="pt-PT"/>
        </w:rPr>
      </w:pPr>
      <w:r w:rsidRPr="0051697C">
        <w:rPr>
          <w:rFonts w:ascii="Arial Narrow" w:eastAsia="Times New Roman" w:hAnsi="Arial Narrow" w:cs="Arial"/>
          <w:lang w:eastAsia="pt-PT"/>
        </w:rPr>
        <w:t xml:space="preserve">Fase III – </w:t>
      </w:r>
      <w:r w:rsidR="00BB083D">
        <w:rPr>
          <w:rFonts w:ascii="Arial Narrow" w:eastAsia="Times New Roman" w:hAnsi="Arial Narrow" w:cs="Arial"/>
          <w:lang w:eastAsia="pt-PT"/>
        </w:rPr>
        <w:t>Re-a</w:t>
      </w:r>
      <w:r w:rsidRPr="0051697C">
        <w:rPr>
          <w:rFonts w:ascii="Arial Narrow" w:eastAsia="Times New Roman" w:hAnsi="Arial Narrow" w:cs="Arial"/>
          <w:lang w:eastAsia="pt-PT"/>
        </w:rPr>
        <w:t>valiação e follow-up.</w:t>
      </w:r>
    </w:p>
    <w:p w:rsidR="001755BD" w:rsidRDefault="001755BD" w:rsidP="0033259D">
      <w:pPr>
        <w:spacing w:after="0" w:line="276" w:lineRule="auto"/>
        <w:jc w:val="both"/>
        <w:rPr>
          <w:rFonts w:ascii="Arial Narrow" w:eastAsia="Times New Roman" w:hAnsi="Arial Narrow" w:cs="Arial"/>
          <w:lang w:eastAsia="pt-PT"/>
        </w:rPr>
      </w:pPr>
    </w:p>
    <w:p w:rsidR="007B6CBA" w:rsidRDefault="00233BDB" w:rsidP="0033259D">
      <w:pPr>
        <w:spacing w:after="0" w:line="276" w:lineRule="auto"/>
        <w:jc w:val="both"/>
        <w:rPr>
          <w:rFonts w:ascii="Arial Narrow" w:eastAsia="Times New Roman" w:hAnsi="Arial Narrow" w:cs="Arial"/>
          <w:lang w:eastAsia="pt-PT"/>
        </w:rPr>
      </w:pPr>
      <w:r>
        <w:rPr>
          <w:rFonts w:ascii="Arial Narrow" w:eastAsia="Times New Roman" w:hAnsi="Arial Narrow" w:cs="Arial"/>
          <w:lang w:eastAsia="pt-PT"/>
        </w:rPr>
        <w:t xml:space="preserve">A primeira presença nas CDT’s num período de 5 anos não implica uma sanção. </w:t>
      </w:r>
      <w:r w:rsidR="001755BD">
        <w:rPr>
          <w:rFonts w:ascii="Arial Narrow" w:eastAsia="Times New Roman" w:hAnsi="Arial Narrow" w:cs="Arial"/>
          <w:lang w:eastAsia="pt-PT"/>
        </w:rPr>
        <w:t>Aos consumidores não toxicodependentes</w:t>
      </w:r>
      <w:r w:rsidR="00AA7740">
        <w:rPr>
          <w:rFonts w:ascii="Arial Narrow" w:eastAsia="Times New Roman" w:hAnsi="Arial Narrow" w:cs="Arial"/>
          <w:lang w:eastAsia="pt-PT"/>
        </w:rPr>
        <w:t>, encaminhados mais do que uma vez durante 5 anos,</w:t>
      </w:r>
      <w:r w:rsidR="0037452A">
        <w:rPr>
          <w:rFonts w:ascii="Arial Narrow" w:eastAsia="Times New Roman" w:hAnsi="Arial Narrow" w:cs="Arial"/>
          <w:lang w:eastAsia="pt-PT"/>
        </w:rPr>
        <w:t xml:space="preserve"> podem ser aplicadas coimas</w:t>
      </w:r>
      <w:r w:rsidR="001755BD">
        <w:rPr>
          <w:rFonts w:ascii="Arial Narrow" w:eastAsia="Times New Roman" w:hAnsi="Arial Narrow" w:cs="Arial"/>
          <w:lang w:eastAsia="pt-PT"/>
        </w:rPr>
        <w:t xml:space="preserve"> ou </w:t>
      </w:r>
      <w:r w:rsidR="001755BD">
        <w:rPr>
          <w:rFonts w:ascii="Arial Narrow" w:eastAsia="Times New Roman" w:hAnsi="Arial Narrow" w:cs="Arial"/>
          <w:lang w:eastAsia="pt-PT"/>
        </w:rPr>
        <w:lastRenderedPageBreak/>
        <w:t>em alternativa sanções não pecuniárias. Aos consumidores toxicodependentes são aplicadas sanções não pecuniárias</w:t>
      </w:r>
      <w:r w:rsidR="00AA7740">
        <w:rPr>
          <w:rFonts w:ascii="Arial Narrow" w:eastAsia="Times New Roman" w:hAnsi="Arial Narrow" w:cs="Arial"/>
          <w:lang w:eastAsia="pt-PT"/>
        </w:rPr>
        <w:t xml:space="preserve">, independentemente do número de vezes que aparecerem nestas comissões. Em ambos os casos as sanções se aplicadas, são escolhidas </w:t>
      </w:r>
      <w:r w:rsidR="001755BD">
        <w:rPr>
          <w:rFonts w:ascii="Arial Narrow" w:eastAsia="Times New Roman" w:hAnsi="Arial Narrow" w:cs="Arial"/>
          <w:lang w:eastAsia="pt-PT"/>
        </w:rPr>
        <w:t>em função da necessidade de prevenção dos</w:t>
      </w:r>
      <w:r w:rsidR="00AA7740">
        <w:rPr>
          <w:rFonts w:ascii="Arial Narrow" w:eastAsia="Times New Roman" w:hAnsi="Arial Narrow" w:cs="Arial"/>
          <w:lang w:eastAsia="pt-PT"/>
        </w:rPr>
        <w:t xml:space="preserve"> consumos, </w:t>
      </w:r>
      <w:r w:rsidR="001755BD">
        <w:rPr>
          <w:rFonts w:ascii="Arial Narrow" w:eastAsia="Times New Roman" w:hAnsi="Arial Narrow" w:cs="Arial"/>
          <w:lang w:eastAsia="pt-PT"/>
        </w:rPr>
        <w:t>da situação do consumidor e da natureza e circunstâncias do consumo.</w:t>
      </w:r>
      <w:r w:rsidR="00AA7740">
        <w:rPr>
          <w:rFonts w:ascii="Arial Narrow" w:eastAsia="Times New Roman" w:hAnsi="Arial Narrow" w:cs="Arial"/>
          <w:lang w:eastAsia="pt-PT"/>
        </w:rPr>
        <w:t xml:space="preserve"> Por exemplo: Se </w:t>
      </w:r>
      <w:r w:rsidR="001755BD">
        <w:rPr>
          <w:rFonts w:ascii="Arial Narrow" w:eastAsia="Times New Roman" w:hAnsi="Arial Narrow" w:cs="Arial"/>
          <w:lang w:eastAsia="pt-PT"/>
        </w:rPr>
        <w:t xml:space="preserve"> </w:t>
      </w:r>
      <w:r w:rsidR="00AA7740">
        <w:rPr>
          <w:rFonts w:ascii="Arial Narrow" w:eastAsia="Times New Roman" w:hAnsi="Arial Narrow" w:cs="Arial"/>
          <w:lang w:eastAsia="pt-PT"/>
        </w:rPr>
        <w:t>uma pessoa não participa voluntariamente num programa indicado pela comissão (há sempre a possibilidade de recusar a participação em qualquer das indicações e/ou recomendações da comissão) a sanção imposta pode ser a obrigação de apresentação no local do programa anteriormente indicado, durante um determinado período de tempo. Esta estratégia tem como objectivo aproximar as pessoas</w:t>
      </w:r>
      <w:r w:rsidR="007B6CBA">
        <w:rPr>
          <w:rFonts w:ascii="Arial Narrow" w:eastAsia="Times New Roman" w:hAnsi="Arial Narrow" w:cs="Arial"/>
          <w:lang w:eastAsia="pt-PT"/>
        </w:rPr>
        <w:t xml:space="preserve"> de serviços dos quais possam eventualmente vir a usufruir, apesar d</w:t>
      </w:r>
      <w:r w:rsidR="0037452A">
        <w:rPr>
          <w:rFonts w:ascii="Arial Narrow" w:eastAsia="Times New Roman" w:hAnsi="Arial Narrow" w:cs="Arial"/>
          <w:lang w:eastAsia="pt-PT"/>
        </w:rPr>
        <w:t>as</w:t>
      </w:r>
      <w:r w:rsidR="007B6CBA">
        <w:rPr>
          <w:rFonts w:ascii="Arial Narrow" w:eastAsia="Times New Roman" w:hAnsi="Arial Narrow" w:cs="Arial"/>
          <w:lang w:eastAsia="pt-PT"/>
        </w:rPr>
        <w:t xml:space="preserve"> resistências iniciais. Embora as sanções aplicadas, bem como o</w:t>
      </w:r>
      <w:r w:rsidR="0037452A">
        <w:rPr>
          <w:rFonts w:ascii="Arial Narrow" w:eastAsia="Times New Roman" w:hAnsi="Arial Narrow" w:cs="Arial"/>
          <w:lang w:eastAsia="pt-PT"/>
        </w:rPr>
        <w:t>s</w:t>
      </w:r>
      <w:r w:rsidR="007B6CBA">
        <w:rPr>
          <w:rFonts w:ascii="Arial Narrow" w:eastAsia="Times New Roman" w:hAnsi="Arial Narrow" w:cs="Arial"/>
          <w:lang w:eastAsia="pt-PT"/>
        </w:rPr>
        <w:t xml:space="preserve"> programas recomendados, podem variar de acordo com os recursos e parcerias desenvolvidas por cada CDT. A lei prevê: </w:t>
      </w:r>
      <w:r w:rsidR="007B6CBA">
        <w:rPr>
          <w:rFonts w:ascii="Arial Narrow" w:eastAsia="Times New Roman" w:hAnsi="Arial Narrow" w:cs="Arial"/>
          <w:bCs/>
          <w:lang w:eastAsia="pt-PT"/>
        </w:rPr>
        <w:t>a</w:t>
      </w:r>
      <w:r w:rsidR="007B6CBA" w:rsidRPr="00F015DA">
        <w:rPr>
          <w:rFonts w:ascii="Arial Narrow" w:eastAsia="Times New Roman" w:hAnsi="Arial Narrow" w:cs="Arial"/>
          <w:bCs/>
          <w:lang w:eastAsia="pt-PT"/>
        </w:rPr>
        <w:t>presentações periódicas na CDT ou noutros locais (C. Saúde);</w:t>
      </w:r>
      <w:r w:rsidR="007B6CBA" w:rsidRPr="00F015DA">
        <w:rPr>
          <w:rFonts w:ascii="Arial Narrow" w:eastAsia="Times New Roman" w:hAnsi="Arial Narrow" w:cs="Arial"/>
          <w:lang w:eastAsia="pt-PT"/>
        </w:rPr>
        <w:t xml:space="preserve"> </w:t>
      </w:r>
      <w:r w:rsidR="007B6CBA" w:rsidRPr="00F015DA">
        <w:rPr>
          <w:rFonts w:ascii="Arial Narrow" w:eastAsia="Times New Roman" w:hAnsi="Arial Narrow" w:cs="Arial"/>
          <w:bCs/>
          <w:lang w:eastAsia="pt-PT"/>
        </w:rPr>
        <w:t>Admoestação;</w:t>
      </w:r>
      <w:r w:rsidR="007B6CBA" w:rsidRPr="00F015DA">
        <w:rPr>
          <w:rFonts w:ascii="Arial Narrow" w:eastAsia="Times New Roman" w:hAnsi="Arial Narrow" w:cs="Arial"/>
          <w:lang w:eastAsia="pt-PT"/>
        </w:rPr>
        <w:t xml:space="preserve"> </w:t>
      </w:r>
      <w:r w:rsidR="007B6CBA" w:rsidRPr="00F015DA">
        <w:rPr>
          <w:rFonts w:ascii="Arial Narrow" w:eastAsia="Times New Roman" w:hAnsi="Arial Narrow" w:cs="Arial"/>
          <w:bCs/>
          <w:lang w:eastAsia="pt-PT"/>
        </w:rPr>
        <w:t>Serviço comunitário;</w:t>
      </w:r>
      <w:r w:rsidR="007B6CBA" w:rsidRPr="00F015DA">
        <w:rPr>
          <w:rFonts w:ascii="Arial Narrow" w:eastAsia="Times New Roman" w:hAnsi="Arial Narrow" w:cs="Arial"/>
          <w:lang w:eastAsia="pt-PT"/>
        </w:rPr>
        <w:t xml:space="preserve"> </w:t>
      </w:r>
      <w:r w:rsidR="007B6CBA" w:rsidRPr="00F015DA">
        <w:rPr>
          <w:rFonts w:ascii="Arial Narrow" w:eastAsia="Times New Roman" w:hAnsi="Arial Narrow" w:cs="Arial"/>
          <w:bCs/>
          <w:lang w:eastAsia="pt-PT"/>
        </w:rPr>
        <w:t>Proibição de frequentar certos locais ou de acompanhar ou receber certas pessoas;</w:t>
      </w:r>
      <w:r w:rsidR="007B6CBA" w:rsidRPr="00F015DA">
        <w:rPr>
          <w:rFonts w:ascii="Arial Narrow" w:eastAsia="Times New Roman" w:hAnsi="Arial Narrow" w:cs="Arial"/>
          <w:lang w:eastAsia="pt-PT"/>
        </w:rPr>
        <w:t xml:space="preserve"> </w:t>
      </w:r>
      <w:r w:rsidR="007B6CBA">
        <w:rPr>
          <w:rFonts w:ascii="Arial Narrow" w:eastAsia="Times New Roman" w:hAnsi="Arial Narrow" w:cs="Arial"/>
          <w:bCs/>
          <w:lang w:eastAsia="pt-PT"/>
        </w:rPr>
        <w:t>Proibição de exercer profiss</w:t>
      </w:r>
      <w:r w:rsidR="007B6CBA" w:rsidRPr="00F015DA">
        <w:rPr>
          <w:rFonts w:ascii="Arial Narrow" w:eastAsia="Times New Roman" w:hAnsi="Arial Narrow" w:cs="Arial"/>
          <w:bCs/>
          <w:lang w:eastAsia="pt-PT"/>
        </w:rPr>
        <w:t>ão ou actividade</w:t>
      </w:r>
      <w:r w:rsidR="007B6CBA">
        <w:rPr>
          <w:rFonts w:ascii="Arial Narrow" w:eastAsia="Times New Roman" w:hAnsi="Arial Narrow" w:cs="Arial"/>
          <w:lang w:eastAsia="pt-PT"/>
        </w:rPr>
        <w:t xml:space="preserve">; </w:t>
      </w:r>
      <w:r w:rsidR="007B6CBA" w:rsidRPr="00F015DA">
        <w:rPr>
          <w:rFonts w:ascii="Arial Narrow" w:eastAsia="Times New Roman" w:hAnsi="Arial Narrow" w:cs="Arial"/>
          <w:bCs/>
          <w:lang w:eastAsia="pt-PT"/>
        </w:rPr>
        <w:t>Apreensão de objetos;</w:t>
      </w:r>
      <w:r w:rsidR="007B6CBA" w:rsidRPr="00F015DA">
        <w:rPr>
          <w:rFonts w:ascii="Arial Narrow" w:eastAsia="Times New Roman" w:hAnsi="Arial Narrow" w:cs="Arial"/>
          <w:lang w:eastAsia="pt-PT"/>
        </w:rPr>
        <w:t xml:space="preserve"> </w:t>
      </w:r>
      <w:r w:rsidR="007B6CBA" w:rsidRPr="00F015DA">
        <w:rPr>
          <w:rFonts w:ascii="Arial Narrow" w:eastAsia="Times New Roman" w:hAnsi="Arial Narrow" w:cs="Arial"/>
          <w:bCs/>
          <w:lang w:eastAsia="pt-PT"/>
        </w:rPr>
        <w:t>Interdição de viajar para o estrangeiro sem autorização;</w:t>
      </w:r>
      <w:r w:rsidR="007B6CBA" w:rsidRPr="00F015DA">
        <w:rPr>
          <w:rFonts w:ascii="Arial Narrow" w:eastAsia="Times New Roman" w:hAnsi="Arial Narrow" w:cs="Arial"/>
          <w:lang w:eastAsia="pt-PT"/>
        </w:rPr>
        <w:t xml:space="preserve"> </w:t>
      </w:r>
      <w:r w:rsidR="007B6CBA">
        <w:rPr>
          <w:rFonts w:ascii="Arial Narrow" w:eastAsia="Times New Roman" w:hAnsi="Arial Narrow" w:cs="Arial"/>
          <w:bCs/>
          <w:lang w:eastAsia="pt-PT"/>
        </w:rPr>
        <w:t>Imposição de gestão de</w:t>
      </w:r>
      <w:r w:rsidR="007B6CBA" w:rsidRPr="00F015DA">
        <w:rPr>
          <w:rFonts w:ascii="Arial Narrow" w:eastAsia="Times New Roman" w:hAnsi="Arial Narrow" w:cs="Arial"/>
          <w:bCs/>
          <w:lang w:eastAsia="pt-PT"/>
        </w:rPr>
        <w:t xml:space="preserve"> subsídios ou apoios estatais;</w:t>
      </w:r>
      <w:r w:rsidR="007B6CBA" w:rsidRPr="00F015DA">
        <w:rPr>
          <w:rFonts w:ascii="Arial Narrow" w:eastAsia="Times New Roman" w:hAnsi="Arial Narrow" w:cs="Arial"/>
          <w:lang w:eastAsia="pt-PT"/>
        </w:rPr>
        <w:t xml:space="preserve"> Proibição da concessão ou renovação da licença de usos e porte de arama de defesa, caça ou recreio; </w:t>
      </w:r>
      <w:r w:rsidR="007B6CBA" w:rsidRPr="00F015DA">
        <w:rPr>
          <w:rFonts w:ascii="Arial Narrow" w:eastAsia="Times New Roman" w:hAnsi="Arial Narrow" w:cs="Arial"/>
          <w:bCs/>
          <w:lang w:eastAsia="pt-PT"/>
        </w:rPr>
        <w:t>Multa pecuniária.</w:t>
      </w:r>
      <w:r w:rsidR="007B6CBA">
        <w:rPr>
          <w:rFonts w:ascii="Arial Narrow" w:eastAsia="Times New Roman" w:hAnsi="Arial Narrow" w:cs="Arial"/>
          <w:bCs/>
          <w:lang w:eastAsia="pt-PT"/>
        </w:rPr>
        <w:t xml:space="preserve"> Na maioria dos casos após a primeira presença nas CDT’s, o processo é suspenso por um período de tempo durante o qual se espera que a pessoa cumpra as recomendações da comissão. </w:t>
      </w:r>
      <w:r w:rsidR="00663D6B">
        <w:rPr>
          <w:rFonts w:ascii="Arial Narrow" w:eastAsia="Times New Roman" w:hAnsi="Arial Narrow" w:cs="Arial"/>
          <w:bCs/>
          <w:lang w:eastAsia="pt-PT"/>
        </w:rPr>
        <w:t xml:space="preserve">No final desse período é feita uma re-avaliação, e se for considerado que a pessoa está no caminho certo e/ou teve em conta as indicações da comissão ou as sanções o caso é arquivado. Importa referir que o não cumprimento de qualquer indicação ou sanção nunca pode resultar em prisão. </w:t>
      </w:r>
    </w:p>
    <w:p w:rsidR="001755BD" w:rsidRDefault="001755BD" w:rsidP="0033259D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br/>
      </w:r>
      <w:r w:rsidR="00CB2437">
        <w:rPr>
          <w:rFonts w:ascii="Arial Narrow" w:hAnsi="Arial Narrow"/>
        </w:rPr>
        <w:t>Dos diversos benefícios, e</w:t>
      </w:r>
      <w:r>
        <w:rPr>
          <w:rFonts w:ascii="Arial Narrow" w:hAnsi="Arial Narrow"/>
        </w:rPr>
        <w:t xml:space="preserve">sta </w:t>
      </w:r>
      <w:r w:rsidR="00CB2437">
        <w:rPr>
          <w:rFonts w:ascii="Arial Narrow" w:hAnsi="Arial Narrow"/>
        </w:rPr>
        <w:t>alternativa</w:t>
      </w:r>
      <w:r>
        <w:rPr>
          <w:rFonts w:ascii="Arial Narrow" w:hAnsi="Arial Narrow"/>
        </w:rPr>
        <w:t xml:space="preserve"> tem um custo </w:t>
      </w:r>
      <w:r w:rsidR="006C757E">
        <w:rPr>
          <w:rFonts w:ascii="Arial Narrow" w:hAnsi="Arial Narrow"/>
        </w:rPr>
        <w:t>financeiro</w:t>
      </w:r>
      <w:r w:rsidR="00CB2437">
        <w:rPr>
          <w:rFonts w:ascii="Arial Narrow" w:hAnsi="Arial Narrow"/>
        </w:rPr>
        <w:t xml:space="preserve"> mais baixo</w:t>
      </w:r>
      <w:r w:rsidR="006C757E">
        <w:rPr>
          <w:rFonts w:ascii="Arial Narrow" w:hAnsi="Arial Narrow"/>
        </w:rPr>
        <w:t xml:space="preserve"> para o Estado e para os arguidos </w:t>
      </w:r>
      <w:r>
        <w:rPr>
          <w:rFonts w:ascii="Arial Narrow" w:hAnsi="Arial Narrow"/>
        </w:rPr>
        <w:t>do que os processos em tribunal</w:t>
      </w:r>
      <w:r w:rsidR="006C757E">
        <w:rPr>
          <w:rFonts w:ascii="Arial Narrow" w:hAnsi="Arial Narrow"/>
        </w:rPr>
        <w:t>. A</w:t>
      </w:r>
      <w:r>
        <w:rPr>
          <w:rFonts w:ascii="Arial Narrow" w:hAnsi="Arial Narrow"/>
        </w:rPr>
        <w:t xml:space="preserve"> estimativa em 2013 é de que um processo em tribunal teria um custo </w:t>
      </w:r>
      <w:r w:rsidR="006C757E">
        <w:rPr>
          <w:rFonts w:ascii="Arial Narrow" w:hAnsi="Arial Narrow"/>
        </w:rPr>
        <w:t xml:space="preserve">para o Estado </w:t>
      </w:r>
      <w:r>
        <w:rPr>
          <w:rFonts w:ascii="Arial Narrow" w:hAnsi="Arial Narrow"/>
        </w:rPr>
        <w:t>entre 580€ a 800€</w:t>
      </w:r>
      <w:r w:rsidR="006C757E">
        <w:rPr>
          <w:rFonts w:ascii="Arial Narrow" w:hAnsi="Arial Narrow"/>
        </w:rPr>
        <w:t>. O</w:t>
      </w:r>
      <w:r>
        <w:rPr>
          <w:rFonts w:ascii="Arial Narrow" w:hAnsi="Arial Narrow"/>
        </w:rPr>
        <w:t xml:space="preserve"> custo de um processo nas CDT’s para o mesmo ano era de 200€ a 390€. </w:t>
      </w:r>
    </w:p>
    <w:p w:rsidR="001755BD" w:rsidRDefault="001755BD" w:rsidP="0033259D">
      <w:pPr>
        <w:spacing w:after="0" w:line="276" w:lineRule="auto"/>
        <w:jc w:val="both"/>
        <w:rPr>
          <w:rFonts w:ascii="Arial Narrow" w:hAnsi="Arial Narrow"/>
        </w:rPr>
      </w:pPr>
    </w:p>
    <w:p w:rsidR="001755BD" w:rsidRDefault="001755BD" w:rsidP="0033259D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SICAD - </w:t>
      </w:r>
      <w:r w:rsidRPr="00C6634D">
        <w:rPr>
          <w:rFonts w:ascii="Arial Narrow" w:hAnsi="Arial Narrow"/>
        </w:rPr>
        <w:t>Serviço de Intervenção nos Comportamentos Aditivos e nas Dependências</w:t>
      </w:r>
      <w:r>
        <w:rPr>
          <w:rFonts w:ascii="Arial Narrow" w:hAnsi="Arial Narrow"/>
        </w:rPr>
        <w:t xml:space="preserve"> através das </w:t>
      </w:r>
      <w:r w:rsidRPr="00C6634D">
        <w:rPr>
          <w:rFonts w:ascii="Arial Narrow" w:hAnsi="Arial Narrow"/>
        </w:rPr>
        <w:t>Comissões para a Dissuasão da Toxicodependência – CDT’s</w:t>
      </w:r>
      <w:r>
        <w:rPr>
          <w:rFonts w:ascii="Arial Narrow" w:hAnsi="Arial Narrow"/>
        </w:rPr>
        <w:t xml:space="preserve"> tem sido objecto de estudo e de atenções ao nível internacional, como exemplo </w:t>
      </w:r>
      <w:r w:rsidR="006C757E">
        <w:rPr>
          <w:rFonts w:ascii="Arial Narrow" w:hAnsi="Arial Narrow"/>
        </w:rPr>
        <w:t xml:space="preserve">único </w:t>
      </w:r>
      <w:r>
        <w:rPr>
          <w:rFonts w:ascii="Arial Narrow" w:hAnsi="Arial Narrow"/>
        </w:rPr>
        <w:t xml:space="preserve">de boas práticas </w:t>
      </w:r>
      <w:r w:rsidR="006C757E">
        <w:rPr>
          <w:rFonts w:ascii="Arial Narrow" w:hAnsi="Arial Narrow"/>
        </w:rPr>
        <w:t xml:space="preserve">no campo da luta contra a droga. </w:t>
      </w:r>
      <w:r w:rsidR="00CB2437">
        <w:rPr>
          <w:rFonts w:ascii="Arial Narrow" w:hAnsi="Arial Narrow"/>
        </w:rPr>
        <w:t>(por ex: ver Silvestri, A. 2015, Gateways From Crime t</w:t>
      </w:r>
      <w:r w:rsidR="00CB2437" w:rsidRPr="00C342D8">
        <w:rPr>
          <w:rFonts w:ascii="Arial Narrow" w:hAnsi="Arial Narrow"/>
        </w:rPr>
        <w:t>o Health: The Portuguese Drug Commissions</w:t>
      </w:r>
      <w:r w:rsidR="00CB2437">
        <w:rPr>
          <w:rFonts w:ascii="Arial Narrow" w:hAnsi="Arial Narrow"/>
        </w:rPr>
        <w:t xml:space="preserve">. London: WCMT and PRT). </w:t>
      </w:r>
      <w:r w:rsidR="006C757E">
        <w:rPr>
          <w:rFonts w:ascii="Arial Narrow" w:hAnsi="Arial Narrow"/>
        </w:rPr>
        <w:t xml:space="preserve">O caso está </w:t>
      </w:r>
      <w:r>
        <w:rPr>
          <w:rFonts w:ascii="Arial Narrow" w:hAnsi="Arial Narrow"/>
        </w:rPr>
        <w:t xml:space="preserve">a ser considerado nas discussões em preparação, ao nível da ONU, para a reforma de políticas proibicionistas. </w:t>
      </w:r>
    </w:p>
    <w:p w:rsidR="001755BD" w:rsidRDefault="001755BD" w:rsidP="001755BD">
      <w:pPr>
        <w:spacing w:line="276" w:lineRule="auto"/>
        <w:rPr>
          <w:rFonts w:ascii="Arial Narrow" w:hAnsi="Arial Narrow"/>
        </w:rPr>
      </w:pPr>
    </w:p>
    <w:p w:rsidR="001755BD" w:rsidRDefault="001755BD" w:rsidP="001755BD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Programa Contigo </w:t>
      </w:r>
    </w:p>
    <w:p w:rsidR="001755BD" w:rsidRPr="003203C7" w:rsidRDefault="001755BD" w:rsidP="001755BD">
      <w:pPr>
        <w:spacing w:line="276" w:lineRule="auto"/>
        <w:jc w:val="both"/>
        <w:rPr>
          <w:rFonts w:ascii="Arial Narrow" w:hAnsi="Arial Narrow"/>
        </w:rPr>
      </w:pPr>
      <w:r w:rsidRPr="003203C7">
        <w:rPr>
          <w:rFonts w:ascii="Arial Narrow" w:hAnsi="Arial Narrow"/>
        </w:rPr>
        <w:t>O Programa Contigo é um projeto de reabilitação psicossocial de agressores em casos de violência doméstica lançado em Ponta Delgada, nos Açores em 2010</w:t>
      </w:r>
      <w:r w:rsidR="001A0DC4">
        <w:rPr>
          <w:rFonts w:ascii="Arial Narrow" w:hAnsi="Arial Narrow"/>
        </w:rPr>
        <w:t>, pel</w:t>
      </w:r>
      <w:r w:rsidRPr="003203C7">
        <w:rPr>
          <w:rFonts w:ascii="Arial Narrow" w:hAnsi="Arial Narrow"/>
        </w:rPr>
        <w:t xml:space="preserve">a Rede de Apoio à Mulher em Situação de Risco. Cascais seguiu o </w:t>
      </w:r>
      <w:r w:rsidR="00192A1B">
        <w:rPr>
          <w:rFonts w:ascii="Arial Narrow" w:hAnsi="Arial Narrow"/>
        </w:rPr>
        <w:t>mesmo modelo técnico/científico</w:t>
      </w:r>
      <w:r w:rsidRPr="003203C7">
        <w:rPr>
          <w:rFonts w:ascii="Arial Narrow" w:hAnsi="Arial Narrow"/>
        </w:rPr>
        <w:t xml:space="preserve"> e crio</w:t>
      </w:r>
      <w:r w:rsidR="00192A1B">
        <w:rPr>
          <w:rFonts w:ascii="Arial Narrow" w:hAnsi="Arial Narrow"/>
        </w:rPr>
        <w:t>u o</w:t>
      </w:r>
      <w:r w:rsidRPr="003203C7">
        <w:rPr>
          <w:rFonts w:ascii="Arial Narrow" w:hAnsi="Arial Narrow"/>
        </w:rPr>
        <w:t xml:space="preserve"> programa Contigo Cascais também em 2010</w:t>
      </w:r>
      <w:r w:rsidR="001A0DC4">
        <w:rPr>
          <w:rFonts w:ascii="Arial Narrow" w:hAnsi="Arial Narrow"/>
        </w:rPr>
        <w:t>. F</w:t>
      </w:r>
      <w:r w:rsidRPr="003203C7">
        <w:rPr>
          <w:rFonts w:ascii="Arial Narrow" w:hAnsi="Arial Narrow"/>
        </w:rPr>
        <w:t>oi sobre a sua aplicação no município de Ca</w:t>
      </w:r>
      <w:r w:rsidR="0037452A">
        <w:rPr>
          <w:rFonts w:ascii="Arial Narrow" w:hAnsi="Arial Narrow"/>
        </w:rPr>
        <w:t>scais que foi feita a pesquisa d</w:t>
      </w:r>
      <w:r w:rsidRPr="003203C7">
        <w:rPr>
          <w:rFonts w:ascii="Arial Narrow" w:hAnsi="Arial Narrow"/>
        </w:rPr>
        <w:t xml:space="preserve">o programa.  </w:t>
      </w:r>
    </w:p>
    <w:p w:rsidR="001755BD" w:rsidRDefault="001755BD" w:rsidP="001755BD">
      <w:pPr>
        <w:spacing w:line="276" w:lineRule="auto"/>
        <w:jc w:val="both"/>
        <w:rPr>
          <w:rFonts w:ascii="Arial Narrow" w:hAnsi="Arial Narrow"/>
        </w:rPr>
      </w:pPr>
      <w:r w:rsidRPr="003203C7">
        <w:rPr>
          <w:rFonts w:ascii="Arial Narrow" w:hAnsi="Arial Narrow"/>
        </w:rPr>
        <w:t>O programa Contigo Cascais baseia-se numa rede de parceria interinstitucional local, promovido pelo Fórum Municipal de Cascais Contra a Violência Doméstica</w:t>
      </w:r>
      <w:r w:rsidR="00D16CB7">
        <w:rPr>
          <w:rFonts w:ascii="Arial Narrow" w:hAnsi="Arial Narrow"/>
        </w:rPr>
        <w:t>. R</w:t>
      </w:r>
      <w:r w:rsidRPr="003203C7">
        <w:rPr>
          <w:rFonts w:ascii="Arial Narrow" w:hAnsi="Arial Narrow"/>
        </w:rPr>
        <w:t xml:space="preserve">esulta da parceria entre a Câmara Municipal de Cascais, a Direcção Geral de Reinserção e Serviços Prisionais e a Fundação Portuguesa para o Estudo Prevenção e Tratamento da Toxicodependência. </w:t>
      </w:r>
      <w:r>
        <w:rPr>
          <w:rFonts w:ascii="Arial Narrow" w:hAnsi="Arial Narrow"/>
        </w:rPr>
        <w:t xml:space="preserve">Tem como objectivo terminar com comportamentos violentos em relações conjugais, diminuir a reincidência e prevenir a (re)vitimização. </w:t>
      </w:r>
      <w:r w:rsidR="00D16CB7">
        <w:rPr>
          <w:rFonts w:ascii="Arial Narrow" w:hAnsi="Arial Narrow"/>
        </w:rPr>
        <w:t>O número de</w:t>
      </w:r>
      <w:r>
        <w:rPr>
          <w:rFonts w:ascii="Arial Narrow" w:hAnsi="Arial Narrow"/>
        </w:rPr>
        <w:t xml:space="preserve"> pessoas que participam neste programa têm vindo a aumentar progressivamente. O programa </w:t>
      </w:r>
      <w:r w:rsidR="00D16CB7">
        <w:rPr>
          <w:rFonts w:ascii="Arial Narrow" w:hAnsi="Arial Narrow"/>
        </w:rPr>
        <w:t xml:space="preserve">dura há quase dois anos e organiza </w:t>
      </w:r>
      <w:r>
        <w:rPr>
          <w:rFonts w:ascii="Arial Narrow" w:hAnsi="Arial Narrow"/>
        </w:rPr>
        <w:t>três etapas</w:t>
      </w:r>
      <w:r w:rsidR="00D16CB7">
        <w:rPr>
          <w:rFonts w:ascii="Arial Narrow" w:hAnsi="Arial Narrow"/>
        </w:rPr>
        <w:t xml:space="preserve"> de actuação aplicadas individualmente</w:t>
      </w:r>
      <w:r>
        <w:rPr>
          <w:rFonts w:ascii="Arial Narrow" w:hAnsi="Arial Narrow"/>
        </w:rPr>
        <w:t>:</w:t>
      </w:r>
    </w:p>
    <w:p w:rsidR="001755BD" w:rsidRDefault="001755BD" w:rsidP="001755BD">
      <w:pPr>
        <w:pStyle w:val="PargrafodaLista"/>
        <w:numPr>
          <w:ilvl w:val="0"/>
          <w:numId w:val="3"/>
        </w:num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Etapa I Avaliação - </w:t>
      </w:r>
      <w:r w:rsidRPr="009E57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As pessoas</w:t>
      </w:r>
      <w:r w:rsidRPr="009E5774">
        <w:rPr>
          <w:rFonts w:ascii="Arial Narrow" w:hAnsi="Arial Narrow"/>
        </w:rPr>
        <w:t xml:space="preserve"> agressoras conjugais </w:t>
      </w:r>
      <w:r>
        <w:rPr>
          <w:rFonts w:ascii="Arial Narrow" w:hAnsi="Arial Narrow"/>
        </w:rPr>
        <w:t xml:space="preserve">chegam ao programa </w:t>
      </w:r>
      <w:r w:rsidRPr="009E5774">
        <w:rPr>
          <w:rFonts w:ascii="Arial Narrow" w:hAnsi="Arial Narrow"/>
        </w:rPr>
        <w:t>enviadas pelos tribunais (</w:t>
      </w:r>
      <w:r>
        <w:rPr>
          <w:rFonts w:ascii="Arial Narrow" w:hAnsi="Arial Narrow"/>
        </w:rPr>
        <w:t xml:space="preserve">condenadas por </w:t>
      </w:r>
      <w:r w:rsidRPr="009E5774">
        <w:rPr>
          <w:rFonts w:ascii="Arial Narrow" w:hAnsi="Arial Narrow"/>
        </w:rPr>
        <w:t>Juiz),</w:t>
      </w:r>
      <w:r>
        <w:rPr>
          <w:rFonts w:ascii="Arial Narrow" w:hAnsi="Arial Narrow"/>
        </w:rPr>
        <w:t xml:space="preserve"> pelo Ministério Público (arguidas em fase de acusação),</w:t>
      </w:r>
      <w:r w:rsidRPr="009E5774">
        <w:rPr>
          <w:rFonts w:ascii="Arial Narrow" w:hAnsi="Arial Narrow"/>
        </w:rPr>
        <w:t xml:space="preserve"> pela Direcção Geral de Reinserção e Serviços Prisionais </w:t>
      </w:r>
      <w:r>
        <w:rPr>
          <w:rFonts w:ascii="Arial Narrow" w:hAnsi="Arial Narrow"/>
        </w:rPr>
        <w:t>–</w:t>
      </w:r>
      <w:r w:rsidRPr="009E5774">
        <w:rPr>
          <w:rFonts w:ascii="Arial Narrow" w:hAnsi="Arial Narrow"/>
        </w:rPr>
        <w:t xml:space="preserve"> DGRSP</w:t>
      </w:r>
      <w:r>
        <w:rPr>
          <w:rFonts w:ascii="Arial Narrow" w:hAnsi="Arial Narrow"/>
        </w:rPr>
        <w:t xml:space="preserve">, </w:t>
      </w:r>
      <w:r w:rsidRPr="009E5774">
        <w:rPr>
          <w:rFonts w:ascii="Arial Narrow" w:hAnsi="Arial Narrow"/>
        </w:rPr>
        <w:t>ou podem ainda ser candida</w:t>
      </w:r>
      <w:r>
        <w:rPr>
          <w:rFonts w:ascii="Arial Narrow" w:hAnsi="Arial Narrow"/>
        </w:rPr>
        <w:t>t</w:t>
      </w:r>
      <w:r w:rsidRPr="009E5774">
        <w:rPr>
          <w:rFonts w:ascii="Arial Narrow" w:hAnsi="Arial Narrow"/>
        </w:rPr>
        <w:t xml:space="preserve">os voluntários (auto proposta). </w:t>
      </w:r>
      <w:r>
        <w:rPr>
          <w:rFonts w:ascii="Arial Narrow" w:hAnsi="Arial Narrow"/>
        </w:rPr>
        <w:t xml:space="preserve">Posteriormente é realizado um processo de avaliação e elaborado um relatório para proposta de participação ou não no projecto. </w:t>
      </w:r>
    </w:p>
    <w:p w:rsidR="001755BD" w:rsidRDefault="001755BD" w:rsidP="001755BD">
      <w:pPr>
        <w:pStyle w:val="PargrafodaLista"/>
        <w:spacing w:after="0"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Nas propostas via </w:t>
      </w:r>
      <w:r w:rsidRPr="009E5774">
        <w:rPr>
          <w:rFonts w:ascii="Arial Narrow" w:hAnsi="Arial Narrow"/>
        </w:rPr>
        <w:t xml:space="preserve">Direcção Geral de Reinserção e Serviços Prisionais </w:t>
      </w:r>
      <w:r>
        <w:rPr>
          <w:rFonts w:ascii="Arial Narrow" w:hAnsi="Arial Narrow"/>
        </w:rPr>
        <w:t>–</w:t>
      </w:r>
      <w:r w:rsidRPr="009E5774">
        <w:rPr>
          <w:rFonts w:ascii="Arial Narrow" w:hAnsi="Arial Narrow"/>
        </w:rPr>
        <w:t xml:space="preserve"> DGRSP</w:t>
      </w:r>
      <w:r>
        <w:rPr>
          <w:rFonts w:ascii="Arial Narrow" w:hAnsi="Arial Narrow"/>
        </w:rPr>
        <w:t xml:space="preserve"> a avaliação é feita por técnicos da </w:t>
      </w:r>
      <w:r w:rsidRPr="009E5774">
        <w:rPr>
          <w:rFonts w:ascii="Arial Narrow" w:hAnsi="Arial Narrow"/>
        </w:rPr>
        <w:t>Direcção Geral de Reinserção e Serviços Prisionais</w:t>
      </w:r>
      <w:r w:rsidR="00291EC3">
        <w:rPr>
          <w:rFonts w:ascii="Arial Narrow" w:hAnsi="Arial Narrow"/>
        </w:rPr>
        <w:t>. A</w:t>
      </w:r>
      <w:r w:rsidRPr="009E5774">
        <w:rPr>
          <w:rFonts w:ascii="Arial Narrow" w:hAnsi="Arial Narrow"/>
        </w:rPr>
        <w:t xml:space="preserve"> DGRSP</w:t>
      </w:r>
      <w:r w:rsidR="00291EC3">
        <w:rPr>
          <w:rFonts w:ascii="Arial Narrow" w:hAnsi="Arial Narrow"/>
        </w:rPr>
        <w:t xml:space="preserve"> aplica </w:t>
      </w:r>
      <w:r>
        <w:rPr>
          <w:rFonts w:ascii="Arial Narrow" w:hAnsi="Arial Narrow"/>
        </w:rPr>
        <w:t>entrevistas para identificar os critérios de participação no programa, mas também para enquadrar a agressão no contexto familiar e social. Procura outras fontes de informação, nomeadamente familiares e comunitárias, sendo a</w:t>
      </w:r>
      <w:r w:rsidR="00291EC3">
        <w:rPr>
          <w:rFonts w:ascii="Arial Narrow" w:hAnsi="Arial Narrow"/>
        </w:rPr>
        <w:t xml:space="preserve"> abordagem da vítima essencial </w:t>
      </w:r>
      <w:r>
        <w:rPr>
          <w:rFonts w:ascii="Arial Narrow" w:hAnsi="Arial Narrow"/>
        </w:rPr>
        <w:t xml:space="preserve">para uma melhor avaliação do quadro familiar e da violência. </w:t>
      </w:r>
      <w:r w:rsidR="00291EC3">
        <w:rPr>
          <w:rFonts w:ascii="Arial Narrow" w:hAnsi="Arial Narrow"/>
        </w:rPr>
        <w:t xml:space="preserve">Contudo, nem sempre é possível contar com a colaboração de terceiros. </w:t>
      </w:r>
      <w:r>
        <w:rPr>
          <w:rFonts w:ascii="Arial Narrow" w:hAnsi="Arial Narrow"/>
        </w:rPr>
        <w:t>A decisão de sugestão ao magistrado para aplicação do programa, no âmbito dos relatórios sociais (instrumento de p</w:t>
      </w:r>
      <w:r w:rsidR="00291EC3">
        <w:rPr>
          <w:rFonts w:ascii="Arial Narrow" w:hAnsi="Arial Narrow"/>
        </w:rPr>
        <w:t xml:space="preserve">rocessos de reinserção social) </w:t>
      </w:r>
      <w:r>
        <w:rPr>
          <w:rFonts w:ascii="Arial Narrow" w:hAnsi="Arial Narrow"/>
        </w:rPr>
        <w:t>é sempre apresentada e discutida com o arguido e</w:t>
      </w:r>
      <w:r w:rsidR="00291EC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quando possível</w:t>
      </w:r>
      <w:r w:rsidR="00291EC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com a vítima. </w:t>
      </w:r>
    </w:p>
    <w:p w:rsidR="001755BD" w:rsidRDefault="001755BD" w:rsidP="001755BD">
      <w:pPr>
        <w:pStyle w:val="Defaul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660326">
        <w:rPr>
          <w:rFonts w:ascii="Arial Narrow" w:hAnsi="Arial Narrow"/>
          <w:sz w:val="22"/>
          <w:szCs w:val="22"/>
        </w:rPr>
        <w:t>Nas propostas por parte dos Tribunais ou Ministério Público são promovidas acções que se considerem ad</w:t>
      </w:r>
      <w:r w:rsidR="00291EC3">
        <w:rPr>
          <w:rFonts w:ascii="Arial Narrow" w:hAnsi="Arial Narrow"/>
          <w:sz w:val="22"/>
          <w:szCs w:val="22"/>
        </w:rPr>
        <w:t>equadas a cada caso em concreto. N</w:t>
      </w:r>
      <w:r w:rsidRPr="00660326">
        <w:rPr>
          <w:rFonts w:ascii="Arial Narrow" w:hAnsi="Arial Narrow"/>
          <w:sz w:val="22"/>
          <w:szCs w:val="22"/>
        </w:rPr>
        <w:t>omeadamente encaminham</w:t>
      </w:r>
      <w:r w:rsidR="00291EC3">
        <w:rPr>
          <w:rFonts w:ascii="Arial Narrow" w:hAnsi="Arial Narrow"/>
          <w:sz w:val="22"/>
          <w:szCs w:val="22"/>
        </w:rPr>
        <w:t xml:space="preserve">-se as pessoas </w:t>
      </w:r>
      <w:r w:rsidRPr="00660326">
        <w:rPr>
          <w:rFonts w:ascii="Arial Narrow" w:hAnsi="Arial Narrow"/>
          <w:sz w:val="22"/>
          <w:szCs w:val="22"/>
        </w:rPr>
        <w:t>para consultas de saúde mental, intervenção nas dependências, terapia familiar, para além da frequência do Módulo Psico-Educacional (MPE)</w:t>
      </w:r>
      <w:r w:rsidR="00291EC3">
        <w:rPr>
          <w:rFonts w:ascii="Arial Narrow" w:hAnsi="Arial Narrow"/>
          <w:sz w:val="22"/>
          <w:szCs w:val="22"/>
        </w:rPr>
        <w:t xml:space="preserve">. São </w:t>
      </w:r>
      <w:r>
        <w:rPr>
          <w:rFonts w:ascii="Arial Narrow" w:hAnsi="Arial Narrow"/>
          <w:sz w:val="22"/>
          <w:szCs w:val="22"/>
        </w:rPr>
        <w:t>obrigat</w:t>
      </w:r>
      <w:r w:rsidR="00291EC3">
        <w:rPr>
          <w:rFonts w:ascii="Arial Narrow" w:hAnsi="Arial Narrow"/>
          <w:sz w:val="22"/>
          <w:szCs w:val="22"/>
        </w:rPr>
        <w:t>órias as</w:t>
      </w:r>
      <w:r>
        <w:rPr>
          <w:rFonts w:ascii="Arial Narrow" w:hAnsi="Arial Narrow"/>
          <w:sz w:val="22"/>
          <w:szCs w:val="22"/>
        </w:rPr>
        <w:t xml:space="preserve"> entrevistas motivacionais e de monitorização do cumprimento do programa com </w:t>
      </w:r>
      <w:r w:rsidR="00291EC3">
        <w:rPr>
          <w:rFonts w:ascii="Arial Narrow" w:hAnsi="Arial Narrow"/>
          <w:sz w:val="22"/>
          <w:szCs w:val="22"/>
        </w:rPr>
        <w:t>o serviço</w:t>
      </w:r>
      <w:r>
        <w:rPr>
          <w:rFonts w:ascii="Arial Narrow" w:hAnsi="Arial Narrow"/>
          <w:sz w:val="22"/>
          <w:szCs w:val="22"/>
        </w:rPr>
        <w:t xml:space="preserve"> de reinserção social responsável pela execução da medida penal. </w:t>
      </w:r>
    </w:p>
    <w:p w:rsidR="001755BD" w:rsidRPr="00660326" w:rsidRDefault="001755BD" w:rsidP="001755BD">
      <w:pPr>
        <w:pStyle w:val="Defaul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:rsidR="001755BD" w:rsidRPr="0037452A" w:rsidRDefault="001755BD" w:rsidP="00C01368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37452A">
        <w:rPr>
          <w:rFonts w:ascii="Arial Narrow" w:hAnsi="Arial Narrow"/>
          <w:sz w:val="22"/>
          <w:szCs w:val="22"/>
        </w:rPr>
        <w:t>Etapa II</w:t>
      </w:r>
      <w:r w:rsidRPr="0037452A">
        <w:rPr>
          <w:b/>
          <w:bCs/>
          <w:sz w:val="22"/>
          <w:szCs w:val="22"/>
        </w:rPr>
        <w:t xml:space="preserve"> </w:t>
      </w:r>
      <w:r w:rsidRPr="0037452A">
        <w:rPr>
          <w:rFonts w:ascii="Arial Narrow" w:hAnsi="Arial Narrow"/>
          <w:bCs/>
          <w:sz w:val="22"/>
          <w:szCs w:val="22"/>
        </w:rPr>
        <w:t>Acompanhamento Supervisão Individual – É nesta etapa que o Ministério Público ou o Juiz decide a medida de iniciação do programa</w:t>
      </w:r>
      <w:r w:rsidR="00291EC3" w:rsidRPr="0037452A">
        <w:rPr>
          <w:rFonts w:ascii="Arial Narrow" w:hAnsi="Arial Narrow"/>
          <w:bCs/>
          <w:sz w:val="22"/>
          <w:szCs w:val="22"/>
        </w:rPr>
        <w:t>,</w:t>
      </w:r>
      <w:r w:rsidRPr="0037452A">
        <w:rPr>
          <w:rFonts w:ascii="Arial Narrow" w:hAnsi="Arial Narrow"/>
          <w:bCs/>
          <w:sz w:val="22"/>
          <w:szCs w:val="22"/>
        </w:rPr>
        <w:t xml:space="preserve"> ou </w:t>
      </w:r>
      <w:r w:rsidR="00291EC3" w:rsidRPr="0037452A">
        <w:rPr>
          <w:rFonts w:ascii="Arial Narrow" w:hAnsi="Arial Narrow"/>
          <w:bCs/>
          <w:sz w:val="22"/>
          <w:szCs w:val="22"/>
        </w:rPr>
        <w:t>a nega.</w:t>
      </w:r>
      <w:r w:rsidRPr="0037452A">
        <w:rPr>
          <w:rFonts w:ascii="Arial Narrow" w:hAnsi="Arial Narrow"/>
          <w:bCs/>
          <w:sz w:val="22"/>
          <w:szCs w:val="22"/>
        </w:rPr>
        <w:t xml:space="preserve"> No caso das pessoas voluntárias este é o momento em que podem iniciar o programa</w:t>
      </w:r>
      <w:r w:rsidR="00291EC3" w:rsidRPr="0037452A">
        <w:rPr>
          <w:rFonts w:ascii="Arial Narrow" w:hAnsi="Arial Narrow"/>
          <w:bCs/>
          <w:sz w:val="22"/>
          <w:szCs w:val="22"/>
        </w:rPr>
        <w:t>.</w:t>
      </w:r>
      <w:r w:rsidRPr="0037452A">
        <w:rPr>
          <w:rFonts w:ascii="Arial Narrow" w:hAnsi="Arial Narrow"/>
          <w:bCs/>
          <w:sz w:val="22"/>
          <w:szCs w:val="22"/>
        </w:rPr>
        <w:t xml:space="preserve"> Os candidatos tomam conhecimento da decisão e do tempo de cumprimento </w:t>
      </w:r>
      <w:r w:rsidR="00291EC3" w:rsidRPr="0037452A">
        <w:rPr>
          <w:rFonts w:ascii="Arial Narrow" w:hAnsi="Arial Narrow"/>
          <w:bCs/>
          <w:sz w:val="22"/>
          <w:szCs w:val="22"/>
        </w:rPr>
        <w:t>das medidas. O</w:t>
      </w:r>
      <w:r w:rsidRPr="0037452A">
        <w:rPr>
          <w:rFonts w:ascii="Arial Narrow" w:hAnsi="Arial Narrow"/>
          <w:bCs/>
          <w:sz w:val="22"/>
          <w:szCs w:val="22"/>
        </w:rPr>
        <w:t xml:space="preserve"> programa </w:t>
      </w:r>
      <w:r w:rsidR="00291EC3" w:rsidRPr="0037452A">
        <w:rPr>
          <w:rFonts w:ascii="Arial Narrow" w:hAnsi="Arial Narrow"/>
          <w:bCs/>
          <w:sz w:val="22"/>
          <w:szCs w:val="22"/>
        </w:rPr>
        <w:t>implica</w:t>
      </w:r>
      <w:r w:rsidRPr="0037452A">
        <w:rPr>
          <w:rFonts w:ascii="Arial Narrow" w:hAnsi="Arial Narrow"/>
          <w:bCs/>
          <w:sz w:val="22"/>
          <w:szCs w:val="22"/>
        </w:rPr>
        <w:t xml:space="preserve"> acompanhamento individual, frequência do </w:t>
      </w:r>
      <w:r w:rsidRPr="0037452A">
        <w:rPr>
          <w:rFonts w:ascii="Arial Narrow" w:hAnsi="Arial Narrow"/>
          <w:sz w:val="22"/>
          <w:szCs w:val="22"/>
        </w:rPr>
        <w:t>Módulo Psico-Educacional (MPE)</w:t>
      </w:r>
      <w:r w:rsidR="00291EC3" w:rsidRPr="0037452A">
        <w:rPr>
          <w:rFonts w:ascii="Arial Narrow" w:hAnsi="Arial Narrow"/>
          <w:sz w:val="22"/>
          <w:szCs w:val="22"/>
        </w:rPr>
        <w:t xml:space="preserve">, </w:t>
      </w:r>
      <w:r w:rsidRPr="0037452A">
        <w:rPr>
          <w:rFonts w:ascii="Arial Narrow" w:hAnsi="Arial Narrow"/>
          <w:sz w:val="22"/>
          <w:szCs w:val="22"/>
        </w:rPr>
        <w:t>composto por 18 sessões em grupo</w:t>
      </w:r>
      <w:r w:rsidR="00291EC3" w:rsidRPr="0037452A">
        <w:rPr>
          <w:rFonts w:ascii="Arial Narrow" w:hAnsi="Arial Narrow"/>
          <w:sz w:val="22"/>
          <w:szCs w:val="22"/>
        </w:rPr>
        <w:t xml:space="preserve">. No grupo há pessoas a frequentar diferentes fases do processo. O que se tem revelado útil, sobretudo para os que começam. Há </w:t>
      </w:r>
      <w:r w:rsidRPr="0037452A">
        <w:rPr>
          <w:rFonts w:ascii="Arial Narrow" w:hAnsi="Arial Narrow"/>
          <w:sz w:val="22"/>
          <w:szCs w:val="22"/>
        </w:rPr>
        <w:t xml:space="preserve">outras actividades </w:t>
      </w:r>
      <w:r w:rsidR="00291EC3" w:rsidRPr="0037452A">
        <w:rPr>
          <w:rFonts w:ascii="Arial Narrow" w:hAnsi="Arial Narrow"/>
          <w:sz w:val="22"/>
          <w:szCs w:val="22"/>
        </w:rPr>
        <w:t xml:space="preserve">que podem ser realizadas, quando haja oportunidade e se justifiquem. </w:t>
      </w:r>
    </w:p>
    <w:p w:rsidR="00291EC3" w:rsidRPr="0037452A" w:rsidRDefault="00291EC3" w:rsidP="00291EC3">
      <w:pPr>
        <w:pStyle w:val="Defaul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:rsidR="001755BD" w:rsidRPr="0037452A" w:rsidRDefault="001755BD" w:rsidP="001755BD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37452A">
        <w:rPr>
          <w:rFonts w:ascii="Arial Narrow" w:hAnsi="Arial Narrow"/>
          <w:sz w:val="22"/>
          <w:szCs w:val="22"/>
        </w:rPr>
        <w:t xml:space="preserve">Etapa III Follow-Up – Após dois anos é realizada uma avaliação junto da vítima, forças policiais, tribunais e outros serviços, por forma a avaliar se a pessoa reincidiu ou não na agressão. Não sendo claro que isso não volte a acontecer, nomeadamente no caso </w:t>
      </w:r>
      <w:r w:rsidR="00291EC3" w:rsidRPr="0037452A">
        <w:rPr>
          <w:rFonts w:ascii="Arial Narrow" w:hAnsi="Arial Narrow"/>
          <w:sz w:val="22"/>
          <w:szCs w:val="22"/>
        </w:rPr>
        <w:t>de</w:t>
      </w:r>
      <w:r w:rsidRPr="0037452A">
        <w:rPr>
          <w:rFonts w:ascii="Arial Narrow" w:hAnsi="Arial Narrow"/>
          <w:sz w:val="22"/>
          <w:szCs w:val="22"/>
        </w:rPr>
        <w:t xml:space="preserve"> a pessoa te</w:t>
      </w:r>
      <w:r w:rsidR="00291EC3" w:rsidRPr="0037452A">
        <w:rPr>
          <w:rFonts w:ascii="Arial Narrow" w:hAnsi="Arial Narrow"/>
          <w:sz w:val="22"/>
          <w:szCs w:val="22"/>
        </w:rPr>
        <w:t>r</w:t>
      </w:r>
      <w:r w:rsidRPr="0037452A">
        <w:rPr>
          <w:rFonts w:ascii="Arial Narrow" w:hAnsi="Arial Narrow"/>
          <w:sz w:val="22"/>
          <w:szCs w:val="22"/>
        </w:rPr>
        <w:t xml:space="preserve"> outro/a companheiro/a que não denuncie possíveis agressões.</w:t>
      </w:r>
    </w:p>
    <w:p w:rsidR="001755BD" w:rsidRPr="001755BD" w:rsidRDefault="001755BD" w:rsidP="001755BD">
      <w:pPr>
        <w:pStyle w:val="Default"/>
        <w:spacing w:line="276" w:lineRule="auto"/>
        <w:ind w:left="284"/>
        <w:jc w:val="both"/>
        <w:rPr>
          <w:rFonts w:ascii="Arial Narrow" w:hAnsi="Arial Narrow"/>
        </w:rPr>
      </w:pPr>
    </w:p>
    <w:p w:rsidR="00D16CB7" w:rsidRDefault="00D16CB7" w:rsidP="001755B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Ao mesmo tempo coexistem e convivem pessoas em fases de tratamento diferentes, bem como pessoas que se sujeitam ao programa voluntariamente, o que tem sido um estímulo para os que começam e o fazem sujeitos a regimes de coerção judicial.</w:t>
      </w:r>
      <w:r w:rsidR="00291EC3">
        <w:rPr>
          <w:rFonts w:ascii="Arial Narrow" w:hAnsi="Arial Narrow"/>
        </w:rPr>
        <w:t xml:space="preserve"> Como é uma referencial útil para os que podem observar em terceiros os próprios progressos ao longo do processo. </w:t>
      </w:r>
    </w:p>
    <w:p w:rsidR="001755BD" w:rsidRPr="001D65B8" w:rsidRDefault="001755BD" w:rsidP="001755BD">
      <w:pPr>
        <w:spacing w:line="276" w:lineRule="auto"/>
        <w:jc w:val="both"/>
        <w:rPr>
          <w:rFonts w:ascii="Arial Narrow" w:hAnsi="Arial Narrow"/>
          <w:b/>
        </w:rPr>
      </w:pPr>
      <w:r w:rsidRPr="001D65B8">
        <w:rPr>
          <w:rFonts w:ascii="Arial Narrow" w:hAnsi="Arial Narrow"/>
          <w:b/>
        </w:rPr>
        <w:t xml:space="preserve">Ao nível das alternativas à prisão, importa focar nas pessoas que participam no programa através do Ministério Público, </w:t>
      </w:r>
      <w:r w:rsidRPr="0037452A">
        <w:rPr>
          <w:rFonts w:ascii="Arial Narrow" w:hAnsi="Arial Narrow"/>
          <w:b/>
        </w:rPr>
        <w:t>enquadradas na Suspensão Provisória do Processo</w:t>
      </w:r>
      <w:r>
        <w:rPr>
          <w:rStyle w:val="Refdenotaderodap"/>
          <w:rFonts w:ascii="Arial Narrow" w:hAnsi="Arial Narrow"/>
        </w:rPr>
        <w:footnoteReference w:id="1"/>
      </w:r>
      <w:r w:rsidRPr="001D65B8">
        <w:rPr>
          <w:rFonts w:ascii="Arial Narrow" w:hAnsi="Arial Narrow"/>
        </w:rPr>
        <w:t xml:space="preserve"> </w:t>
      </w:r>
      <w:r w:rsidRPr="0037452A">
        <w:rPr>
          <w:rFonts w:ascii="Arial Narrow" w:hAnsi="Arial Narrow"/>
          <w:b/>
        </w:rPr>
        <w:t>pre</w:t>
      </w:r>
      <w:r w:rsidR="0037452A">
        <w:rPr>
          <w:rFonts w:ascii="Arial Narrow" w:hAnsi="Arial Narrow"/>
          <w:b/>
        </w:rPr>
        <w:t>vista</w:t>
      </w:r>
      <w:r w:rsidR="00291EC3" w:rsidRPr="0037452A">
        <w:rPr>
          <w:rFonts w:ascii="Arial Narrow" w:hAnsi="Arial Narrow"/>
          <w:b/>
        </w:rPr>
        <w:t xml:space="preserve"> no Código do Processo Penal</w:t>
      </w:r>
      <w:r w:rsidR="00291EC3">
        <w:rPr>
          <w:rFonts w:ascii="Arial Narrow" w:hAnsi="Arial Narrow"/>
        </w:rPr>
        <w:t>. N</w:t>
      </w:r>
      <w:r w:rsidRPr="001D65B8">
        <w:rPr>
          <w:rFonts w:ascii="Arial Narrow" w:hAnsi="Arial Narrow"/>
        </w:rPr>
        <w:t xml:space="preserve">o momento da </w:t>
      </w:r>
      <w:r w:rsidR="00291EC3">
        <w:rPr>
          <w:rFonts w:ascii="Arial Narrow" w:hAnsi="Arial Narrow"/>
        </w:rPr>
        <w:t xml:space="preserve">pronúncia da </w:t>
      </w:r>
      <w:r w:rsidRPr="001D65B8">
        <w:rPr>
          <w:rFonts w:ascii="Arial Narrow" w:hAnsi="Arial Narrow"/>
        </w:rPr>
        <w:t>acusação em que são arguidas</w:t>
      </w:r>
      <w:r w:rsidR="00291EC3">
        <w:rPr>
          <w:rFonts w:ascii="Arial Narrow" w:hAnsi="Arial Narrow"/>
        </w:rPr>
        <w:t>,</w:t>
      </w:r>
      <w:r w:rsidRPr="001D65B8">
        <w:rPr>
          <w:rFonts w:ascii="Arial Narrow" w:hAnsi="Arial Narrow"/>
        </w:rPr>
        <w:t xml:space="preserve"> </w:t>
      </w:r>
      <w:r w:rsidRPr="0037452A">
        <w:rPr>
          <w:rFonts w:ascii="Arial Narrow" w:hAnsi="Arial Narrow"/>
          <w:b/>
        </w:rPr>
        <w:t>o Ministério Público pode propor em alternativa à continuidade do processo judicial via tribunal, a suspensão provisória do processo mediante a participação no programa Contigo</w:t>
      </w:r>
      <w:r w:rsidRPr="001D65B8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</w:rPr>
        <w:t>No total</w:t>
      </w:r>
      <w:r w:rsidR="00EB5CB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os participantes deste programa </w:t>
      </w:r>
      <w:r>
        <w:rPr>
          <w:rFonts w:ascii="Arial Narrow" w:hAnsi="Arial Narrow"/>
        </w:rPr>
        <w:lastRenderedPageBreak/>
        <w:t xml:space="preserve">por esta via representaram, entre 2010 e 2014, </w:t>
      </w:r>
      <w:r w:rsidRPr="001D65B8">
        <w:rPr>
          <w:rFonts w:ascii="Arial Narrow" w:hAnsi="Arial Narrow"/>
        </w:rPr>
        <w:t>3</w:t>
      </w:r>
      <w:r>
        <w:rPr>
          <w:rFonts w:ascii="Arial Narrow" w:hAnsi="Arial Narrow"/>
        </w:rPr>
        <w:t>2</w:t>
      </w:r>
      <w:r w:rsidRPr="001D65B8">
        <w:rPr>
          <w:rFonts w:ascii="Arial Narrow" w:hAnsi="Arial Narrow"/>
        </w:rPr>
        <w:t xml:space="preserve"> participantes</w:t>
      </w:r>
      <w:r>
        <w:rPr>
          <w:rFonts w:ascii="Arial Narrow" w:hAnsi="Arial Narrow"/>
        </w:rPr>
        <w:t xml:space="preserve"> que correspondem a 50% do total (N=64)  de participações durante 5 anos do programa. </w:t>
      </w:r>
    </w:p>
    <w:p w:rsidR="001755BD" w:rsidRPr="0037452A" w:rsidRDefault="001755BD" w:rsidP="001755BD">
      <w:pPr>
        <w:pStyle w:val="Default"/>
        <w:spacing w:line="276" w:lineRule="auto"/>
        <w:jc w:val="both"/>
        <w:rPr>
          <w:rFonts w:ascii="Arial Narrow" w:hAnsi="Arial Narrow"/>
          <w:sz w:val="22"/>
        </w:rPr>
      </w:pPr>
      <w:r w:rsidRPr="0037452A">
        <w:rPr>
          <w:rFonts w:ascii="Arial Narrow" w:hAnsi="Arial Narrow"/>
          <w:sz w:val="22"/>
        </w:rPr>
        <w:t>Ao nível da avaliação da execução do programa, são identificados os seguintes aspectos positivos:</w:t>
      </w:r>
    </w:p>
    <w:p w:rsidR="001755BD" w:rsidRPr="0037452A" w:rsidRDefault="001755BD" w:rsidP="001755BD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</w:rPr>
      </w:pPr>
      <w:r w:rsidRPr="0037452A">
        <w:rPr>
          <w:rFonts w:ascii="Arial Narrow" w:hAnsi="Arial Narrow"/>
          <w:sz w:val="22"/>
        </w:rPr>
        <w:t>Participação voluntária de agressores/as conjugais;</w:t>
      </w:r>
    </w:p>
    <w:p w:rsidR="001755BD" w:rsidRPr="0037452A" w:rsidRDefault="001755BD" w:rsidP="001755BD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</w:rPr>
      </w:pPr>
      <w:r w:rsidRPr="0037452A">
        <w:rPr>
          <w:rFonts w:ascii="Arial Narrow" w:hAnsi="Arial Narrow"/>
          <w:sz w:val="22"/>
        </w:rPr>
        <w:t>Abertura do grupo – permite a entrada de novos elementos durante a realização das sessões de grupo;</w:t>
      </w:r>
    </w:p>
    <w:p w:rsidR="001755BD" w:rsidRPr="0037452A" w:rsidRDefault="001755BD" w:rsidP="001755BD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</w:rPr>
      </w:pPr>
      <w:r w:rsidRPr="0037452A">
        <w:rPr>
          <w:rFonts w:ascii="Arial Narrow" w:hAnsi="Arial Narrow"/>
          <w:sz w:val="22"/>
        </w:rPr>
        <w:t>Levar para as dinâmicas das relações emocionais significativas outra forma de ser e estar, no fundo, outra dinâmica relacional que não a violenta;</w:t>
      </w:r>
    </w:p>
    <w:p w:rsidR="001755BD" w:rsidRPr="0037452A" w:rsidRDefault="001755BD" w:rsidP="001755BD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</w:rPr>
      </w:pPr>
      <w:r w:rsidRPr="0037452A">
        <w:rPr>
          <w:rFonts w:ascii="Arial Narrow" w:hAnsi="Arial Narrow"/>
          <w:sz w:val="22"/>
        </w:rPr>
        <w:t>Identificação de agressões e violência</w:t>
      </w:r>
      <w:r w:rsidR="00EB5CBB" w:rsidRPr="0037452A">
        <w:rPr>
          <w:rFonts w:ascii="Arial Narrow" w:hAnsi="Arial Narrow"/>
          <w:sz w:val="22"/>
        </w:rPr>
        <w:t>s</w:t>
      </w:r>
      <w:r w:rsidRPr="0037452A">
        <w:rPr>
          <w:rFonts w:ascii="Arial Narrow" w:hAnsi="Arial Narrow"/>
          <w:sz w:val="22"/>
        </w:rPr>
        <w:t xml:space="preserve"> do passado e aumento da consciência da gravidade e consequências das mesmas para as vítimas (companheiro/a, filhos) e para si próprios;</w:t>
      </w:r>
    </w:p>
    <w:p w:rsidR="001755BD" w:rsidRPr="0037452A" w:rsidRDefault="001755BD" w:rsidP="001755BD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</w:rPr>
      </w:pPr>
      <w:r w:rsidRPr="0037452A">
        <w:rPr>
          <w:rFonts w:ascii="Arial Narrow" w:hAnsi="Arial Narrow"/>
          <w:sz w:val="22"/>
        </w:rPr>
        <w:t>Desenvolvimento da capacidade empática nas relações familiares, sociais e profissionais;</w:t>
      </w:r>
    </w:p>
    <w:p w:rsidR="001755BD" w:rsidRPr="0037452A" w:rsidRDefault="001755BD" w:rsidP="001755BD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</w:rPr>
      </w:pPr>
      <w:r w:rsidRPr="0037452A">
        <w:rPr>
          <w:rFonts w:ascii="Arial Narrow" w:hAnsi="Arial Narrow"/>
          <w:sz w:val="22"/>
        </w:rPr>
        <w:t xml:space="preserve">Desejo de compartilhar a experiência positiva de participação no programa com o cônjuge e/ou ex-cônjuge. </w:t>
      </w:r>
    </w:p>
    <w:p w:rsidR="001755BD" w:rsidRPr="001755BD" w:rsidRDefault="001755BD" w:rsidP="001755BD">
      <w:pPr>
        <w:pStyle w:val="Default"/>
        <w:spacing w:line="276" w:lineRule="auto"/>
        <w:ind w:left="720"/>
        <w:jc w:val="both"/>
        <w:rPr>
          <w:rFonts w:ascii="Arial Narrow" w:hAnsi="Arial Narrow"/>
        </w:rPr>
      </w:pPr>
    </w:p>
    <w:p w:rsidR="001755BD" w:rsidRDefault="001755BD" w:rsidP="001755B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Segundo a equipa técnica do projecto, e</w:t>
      </w:r>
      <w:r w:rsidRPr="0022301B">
        <w:rPr>
          <w:rFonts w:ascii="Arial Narrow" w:hAnsi="Arial Narrow"/>
        </w:rPr>
        <w:t>fectuado um follow-up</w:t>
      </w:r>
      <w:r>
        <w:rPr>
          <w:rFonts w:ascii="Arial Narrow" w:hAnsi="Arial Narrow"/>
        </w:rPr>
        <w:t xml:space="preserve"> </w:t>
      </w:r>
      <w:r w:rsidRPr="0022301B">
        <w:rPr>
          <w:rFonts w:ascii="Arial Narrow" w:hAnsi="Arial Narrow"/>
        </w:rPr>
        <w:t>de dois anos após a conclusão do Programa Contigo em todas as suas componentes, houve 2 casos de reincidência, medida pela existência ou não de novas participações de violência doméstica.</w:t>
      </w:r>
    </w:p>
    <w:p w:rsidR="0037452A" w:rsidRPr="001755BD" w:rsidRDefault="001755BD" w:rsidP="001755BD">
      <w:pPr>
        <w:spacing w:line="276" w:lineRule="auto"/>
        <w:jc w:val="both"/>
        <w:rPr>
          <w:rFonts w:ascii="Arial Narrow" w:hAnsi="Arial Narrow"/>
          <w:b/>
        </w:rPr>
      </w:pPr>
      <w:r w:rsidRPr="0022301B">
        <w:rPr>
          <w:rFonts w:ascii="Arial Narrow" w:hAnsi="Arial Narrow"/>
          <w:b/>
        </w:rPr>
        <w:t>Nos casos em que a participação no programa ocorreu via Ministério Público no âmbito da suspensão provisória do processo, após um follow-up positivo no final de 2 anos o processo em tribunal é arquivado.</w:t>
      </w:r>
    </w:p>
    <w:p w:rsidR="001755BD" w:rsidRPr="009E6793" w:rsidRDefault="001755BD" w:rsidP="001755BD">
      <w:pPr>
        <w:spacing w:line="276" w:lineRule="auto"/>
        <w:jc w:val="both"/>
        <w:rPr>
          <w:rFonts w:ascii="Arial Narrow" w:hAnsi="Arial Narrow"/>
        </w:rPr>
      </w:pPr>
      <w:r w:rsidRPr="004A5AB5">
        <w:rPr>
          <w:rFonts w:ascii="Arial Narrow" w:hAnsi="Arial Narrow"/>
        </w:rPr>
        <w:t xml:space="preserve">Em geral, concluímos haver perspectivas testadas com sucesso de intervenção extra-penais de caracter preventivo que têm sido </w:t>
      </w:r>
      <w:r w:rsidR="00EB5CBB">
        <w:rPr>
          <w:rFonts w:ascii="Arial Narrow" w:hAnsi="Arial Narrow"/>
        </w:rPr>
        <w:t xml:space="preserve">persistentes e </w:t>
      </w:r>
      <w:r w:rsidRPr="004A5AB5">
        <w:rPr>
          <w:rFonts w:ascii="Arial Narrow" w:hAnsi="Arial Narrow"/>
        </w:rPr>
        <w:t>eficazes</w:t>
      </w:r>
      <w:r w:rsidR="00EB5CBB">
        <w:rPr>
          <w:rFonts w:ascii="Arial Narrow" w:hAnsi="Arial Narrow"/>
        </w:rPr>
        <w:t xml:space="preserve">. Estimularam e beneficiaram </w:t>
      </w:r>
      <w:r w:rsidRPr="004A5AB5">
        <w:rPr>
          <w:rFonts w:ascii="Arial Narrow" w:hAnsi="Arial Narrow"/>
        </w:rPr>
        <w:t>a participação voluntária d</w:t>
      </w:r>
      <w:r w:rsidR="00EB5CBB">
        <w:rPr>
          <w:rFonts w:ascii="Arial Narrow" w:hAnsi="Arial Narrow"/>
        </w:rPr>
        <w:t>e</w:t>
      </w:r>
      <w:r w:rsidRPr="004A5AB5">
        <w:rPr>
          <w:rFonts w:ascii="Arial Narrow" w:hAnsi="Arial Narrow"/>
        </w:rPr>
        <w:t xml:space="preserve"> potenciais ou reais </w:t>
      </w:r>
      <w:r w:rsidR="00EB5CBB">
        <w:rPr>
          <w:rFonts w:ascii="Arial Narrow" w:hAnsi="Arial Narrow"/>
        </w:rPr>
        <w:t xml:space="preserve">utilizadores de drogas e </w:t>
      </w:r>
      <w:r w:rsidRPr="004A5AB5">
        <w:rPr>
          <w:rFonts w:ascii="Arial Narrow" w:hAnsi="Arial Narrow"/>
        </w:rPr>
        <w:t>agressores nos programas de prevenção. Tais perspectivas fundam o sucesso do SICAD</w:t>
      </w:r>
      <w:r w:rsidR="00EB5CBB">
        <w:rPr>
          <w:rFonts w:ascii="Arial Narrow" w:hAnsi="Arial Narrow"/>
        </w:rPr>
        <w:t xml:space="preserve"> e do programa Contigo. M</w:t>
      </w:r>
      <w:r w:rsidRPr="004A5AB5">
        <w:rPr>
          <w:rFonts w:ascii="Arial Narrow" w:hAnsi="Arial Narrow"/>
        </w:rPr>
        <w:t xml:space="preserve">as, ao mesmo tempo, não impediram o crescimento do número de presos no país. </w:t>
      </w:r>
      <w:r w:rsidR="00EB5CBB">
        <w:rPr>
          <w:rFonts w:ascii="Arial Narrow" w:hAnsi="Arial Narrow"/>
        </w:rPr>
        <w:t>E</w:t>
      </w:r>
      <w:r w:rsidR="00EB5CBB" w:rsidRPr="004A5AB5">
        <w:rPr>
          <w:rFonts w:ascii="Arial Narrow" w:hAnsi="Arial Narrow"/>
        </w:rPr>
        <w:t>st</w:t>
      </w:r>
      <w:r w:rsidR="00EB5CBB">
        <w:rPr>
          <w:rFonts w:ascii="Arial Narrow" w:hAnsi="Arial Narrow"/>
        </w:rPr>
        <w:t>a</w:t>
      </w:r>
      <w:r w:rsidR="00EB5CBB" w:rsidRPr="004A5AB5">
        <w:rPr>
          <w:rFonts w:ascii="Arial Narrow" w:hAnsi="Arial Narrow"/>
        </w:rPr>
        <w:t>s</w:t>
      </w:r>
      <w:r w:rsidRPr="004A5AB5">
        <w:rPr>
          <w:rFonts w:ascii="Arial Narrow" w:hAnsi="Arial Narrow"/>
        </w:rPr>
        <w:t xml:space="preserve"> perspectivas não têm sido usad</w:t>
      </w:r>
      <w:r w:rsidR="00EB5CBB">
        <w:rPr>
          <w:rFonts w:ascii="Arial Narrow" w:hAnsi="Arial Narrow"/>
        </w:rPr>
        <w:t xml:space="preserve">as como alternativas à prisão. </w:t>
      </w:r>
      <w:r w:rsidRPr="004A5AB5">
        <w:rPr>
          <w:rFonts w:ascii="Arial Narrow" w:hAnsi="Arial Narrow"/>
        </w:rPr>
        <w:t>Mas têm potencial para o efeito</w:t>
      </w:r>
      <w:r w:rsidR="00EB5CBB">
        <w:rPr>
          <w:rFonts w:ascii="Arial Narrow" w:hAnsi="Arial Narrow"/>
        </w:rPr>
        <w:t>, caso se estendam as suas intervenções a muito mais casos de uma forma organizada</w:t>
      </w:r>
      <w:r w:rsidRPr="004A5AB5">
        <w:rPr>
          <w:rFonts w:ascii="Arial Narrow" w:hAnsi="Arial Narrow"/>
        </w:rPr>
        <w:t xml:space="preserve">. </w:t>
      </w:r>
    </w:p>
    <w:p w:rsidR="00B24C59" w:rsidRDefault="00B24C59"/>
    <w:sectPr w:rsidR="00B24C59" w:rsidSect="001755BD"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631" w:rsidRDefault="005D3631" w:rsidP="001755BD">
      <w:pPr>
        <w:spacing w:after="0" w:line="240" w:lineRule="auto"/>
      </w:pPr>
      <w:r>
        <w:separator/>
      </w:r>
    </w:p>
  </w:endnote>
  <w:endnote w:type="continuationSeparator" w:id="0">
    <w:p w:rsidR="005D3631" w:rsidRDefault="005D3631" w:rsidP="0017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887976"/>
      <w:docPartObj>
        <w:docPartGallery w:val="Page Numbers (Bottom of Page)"/>
        <w:docPartUnique/>
      </w:docPartObj>
    </w:sdtPr>
    <w:sdtEndPr/>
    <w:sdtContent>
      <w:p w:rsidR="001755BD" w:rsidRDefault="001755B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B56">
          <w:rPr>
            <w:noProof/>
          </w:rPr>
          <w:t>5</w:t>
        </w:r>
        <w:r>
          <w:fldChar w:fldCharType="end"/>
        </w:r>
      </w:p>
    </w:sdtContent>
  </w:sdt>
  <w:p w:rsidR="001755BD" w:rsidRDefault="001755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631" w:rsidRDefault="005D3631" w:rsidP="001755BD">
      <w:pPr>
        <w:spacing w:after="0" w:line="240" w:lineRule="auto"/>
      </w:pPr>
      <w:r>
        <w:separator/>
      </w:r>
    </w:p>
  </w:footnote>
  <w:footnote w:type="continuationSeparator" w:id="0">
    <w:p w:rsidR="005D3631" w:rsidRDefault="005D3631" w:rsidP="001755BD">
      <w:pPr>
        <w:spacing w:after="0" w:line="240" w:lineRule="auto"/>
      </w:pPr>
      <w:r>
        <w:continuationSeparator/>
      </w:r>
    </w:p>
  </w:footnote>
  <w:footnote w:id="1">
    <w:p w:rsidR="001755BD" w:rsidRPr="001755BD" w:rsidRDefault="001755BD" w:rsidP="001755BD">
      <w:pPr>
        <w:pStyle w:val="Textodenotaderodap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1755BD">
        <w:rPr>
          <w:rStyle w:val="Refdenotaderodap"/>
          <w:rFonts w:ascii="Arial Narrow" w:hAnsi="Arial Narrow"/>
          <w:sz w:val="16"/>
          <w:szCs w:val="18"/>
        </w:rPr>
        <w:footnoteRef/>
      </w:r>
      <w:r w:rsidRPr="001755BD">
        <w:rPr>
          <w:rFonts w:ascii="Arial Narrow" w:hAnsi="Arial Narrow"/>
          <w:sz w:val="16"/>
          <w:szCs w:val="18"/>
        </w:rPr>
        <w:t xml:space="preserve"> </w:t>
      </w:r>
      <w:r w:rsidRPr="001755BD">
        <w:rPr>
          <w:rFonts w:ascii="Arial Narrow" w:hAnsi="Arial Narrow"/>
          <w:b/>
          <w:bCs/>
          <w:sz w:val="16"/>
          <w:szCs w:val="18"/>
        </w:rPr>
        <w:t>Suspensão provisória do processo:</w:t>
      </w:r>
      <w:r w:rsidRPr="001755BD">
        <w:rPr>
          <w:rFonts w:ascii="Arial Narrow" w:hAnsi="Arial Narrow"/>
          <w:sz w:val="16"/>
          <w:szCs w:val="18"/>
        </w:rPr>
        <w:t xml:space="preserve"> Se o crime for punível com pena de prisão não superior a 5 anos ou com sanção diferente da prisão, o Ministério Público, oficiosamente ou a requerimento do arguido ou do assistente, determina, com a concordância do juiz de instrução, a suspensão do processo, mediante a imposição ao arguido de injunções e regras de conduta, sempre que se verificarem os seguintes pressupostos: a) Concordância do arguido e do assistente; b) Ausência de condenação anterior por crime da mesma natureza; c) Ausência de aplicação anterior de suspensão provisória de processo por crime da mesma natureza; d) Não haver lugar a medida de segurança de internamento; e) Ausência de um grau de culpa elevado; e f) Ser de prever que o cumprimento das injunções e regras de conduta responda suficientemente às exigências de prevenção que no caso se façam sentir.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7BE"/>
    <w:multiLevelType w:val="hybridMultilevel"/>
    <w:tmpl w:val="3626B4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929A2"/>
    <w:multiLevelType w:val="hybridMultilevel"/>
    <w:tmpl w:val="C2D051E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B37B0"/>
    <w:multiLevelType w:val="hybridMultilevel"/>
    <w:tmpl w:val="F54E38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B2C3B"/>
    <w:multiLevelType w:val="hybridMultilevel"/>
    <w:tmpl w:val="FC701E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BD"/>
    <w:rsid w:val="00013063"/>
    <w:rsid w:val="001755BD"/>
    <w:rsid w:val="00192A1B"/>
    <w:rsid w:val="001A0DC4"/>
    <w:rsid w:val="00233BDB"/>
    <w:rsid w:val="00256E38"/>
    <w:rsid w:val="00291EC3"/>
    <w:rsid w:val="003220F8"/>
    <w:rsid w:val="0033259D"/>
    <w:rsid w:val="00344B71"/>
    <w:rsid w:val="0037452A"/>
    <w:rsid w:val="004078D8"/>
    <w:rsid w:val="0041702C"/>
    <w:rsid w:val="0051697C"/>
    <w:rsid w:val="005D3631"/>
    <w:rsid w:val="005D3D38"/>
    <w:rsid w:val="00663D6B"/>
    <w:rsid w:val="006C757E"/>
    <w:rsid w:val="006D7D32"/>
    <w:rsid w:val="006F5269"/>
    <w:rsid w:val="00763897"/>
    <w:rsid w:val="007B6CBA"/>
    <w:rsid w:val="008269FD"/>
    <w:rsid w:val="008C248B"/>
    <w:rsid w:val="009D6917"/>
    <w:rsid w:val="009E1AFD"/>
    <w:rsid w:val="00AA7740"/>
    <w:rsid w:val="00B24C59"/>
    <w:rsid w:val="00B80F08"/>
    <w:rsid w:val="00BB083D"/>
    <w:rsid w:val="00BB7B56"/>
    <w:rsid w:val="00BF011B"/>
    <w:rsid w:val="00C10BA7"/>
    <w:rsid w:val="00C47837"/>
    <w:rsid w:val="00CB2437"/>
    <w:rsid w:val="00CB474C"/>
    <w:rsid w:val="00D16CB7"/>
    <w:rsid w:val="00DA7FDF"/>
    <w:rsid w:val="00DD1399"/>
    <w:rsid w:val="00DE726D"/>
    <w:rsid w:val="00DF3F73"/>
    <w:rsid w:val="00E76282"/>
    <w:rsid w:val="00E76626"/>
    <w:rsid w:val="00EB5CBB"/>
    <w:rsid w:val="00EF35CB"/>
    <w:rsid w:val="00F211E1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DC1D"/>
  <w15:chartTrackingRefBased/>
  <w15:docId w15:val="{0458A9EC-4900-4D0C-BB0D-2CC78DA4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5B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55BD"/>
    <w:pPr>
      <w:ind w:left="720"/>
      <w:contextualSpacing/>
    </w:pPr>
  </w:style>
  <w:style w:type="paragraph" w:customStyle="1" w:styleId="Default">
    <w:name w:val="Default"/>
    <w:rsid w:val="00175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755BD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755BD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755BD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755B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755B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755BD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175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55BD"/>
  </w:style>
  <w:style w:type="paragraph" w:styleId="Rodap">
    <w:name w:val="footer"/>
    <w:basedOn w:val="Normal"/>
    <w:link w:val="RodapCarter"/>
    <w:uiPriority w:val="99"/>
    <w:unhideWhenUsed/>
    <w:rsid w:val="00175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55BD"/>
  </w:style>
  <w:style w:type="character" w:customStyle="1" w:styleId="hps">
    <w:name w:val="hps"/>
    <w:basedOn w:val="Tipodeletrapredefinidodopargrafo"/>
    <w:rsid w:val="00DD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7F5D-ACF5-48A4-88D6-DDB27EF0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2749</Words>
  <Characters>14850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</dc:creator>
  <cp:keywords/>
  <dc:description/>
  <cp:lastModifiedBy>RL</cp:lastModifiedBy>
  <cp:revision>19</cp:revision>
  <dcterms:created xsi:type="dcterms:W3CDTF">2015-10-29T14:18:00Z</dcterms:created>
  <dcterms:modified xsi:type="dcterms:W3CDTF">2015-11-24T10:08:00Z</dcterms:modified>
</cp:coreProperties>
</file>