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98" w:rsidRDefault="0006138E">
      <w:r>
        <w:t xml:space="preserve">A violência </w:t>
      </w:r>
      <w:r w:rsidR="004E7F64">
        <w:t xml:space="preserve">não </w:t>
      </w:r>
      <w:r>
        <w:t xml:space="preserve">é </w:t>
      </w:r>
      <w:r w:rsidR="004E7F64">
        <w:t>bem tratada pela</w:t>
      </w:r>
      <w:r w:rsidR="00686B52">
        <w:t xml:space="preserve">s ciências </w:t>
      </w:r>
      <w:r w:rsidR="004E7F64">
        <w:t>socia</w:t>
      </w:r>
      <w:r w:rsidR="00686B52">
        <w:t>is</w:t>
      </w:r>
      <w:bookmarkStart w:id="0" w:name="_GoBack"/>
      <w:bookmarkEnd w:id="0"/>
    </w:p>
    <w:p w:rsidR="0006138E" w:rsidRDefault="0006138E">
      <w:r>
        <w:t xml:space="preserve">A organização do congresso mundial da Associação Internacional de Sociologia, em 2010, elencou uma série de </w:t>
      </w:r>
      <w:proofErr w:type="spellStart"/>
      <w:r>
        <w:t>objectos</w:t>
      </w:r>
      <w:proofErr w:type="spellEnd"/>
      <w:r>
        <w:t xml:space="preserve"> de estudo que estavam a ser insuficientemente tratados pelas ciências sociais. </w:t>
      </w:r>
      <w:r w:rsidR="00BF2A56">
        <w:t xml:space="preserve">O primeiro entre eles foi a violência. Tema rara e, quando tratado, remetido para a violência resultante de dissensões políticas ou religiosas, para a ciência política, como algo negativo e a evitar. Mas cuja compreensão, enquanto </w:t>
      </w:r>
      <w:proofErr w:type="spellStart"/>
      <w:r w:rsidR="00BF2A56">
        <w:t>objecto</w:t>
      </w:r>
      <w:proofErr w:type="spellEnd"/>
      <w:r w:rsidR="00BF2A56">
        <w:t xml:space="preserve"> sociológico, estava longe de ser satisfatória.</w:t>
      </w:r>
    </w:p>
    <w:p w:rsidR="00BF2A56" w:rsidRDefault="00BF2A56">
      <w:r>
        <w:t xml:space="preserve">Este destaque não foi independente do facto de durante a sua presidência da ISA, que terminou nesse congresso, Michel </w:t>
      </w:r>
      <w:proofErr w:type="spellStart"/>
      <w:r>
        <w:t>Wieviorka</w:t>
      </w:r>
      <w:proofErr w:type="spellEnd"/>
      <w:r>
        <w:t xml:space="preserve"> ter publicado um livro com o título “La </w:t>
      </w:r>
      <w:proofErr w:type="spellStart"/>
      <w:r>
        <w:t>violence</w:t>
      </w:r>
      <w:proofErr w:type="spellEnd"/>
      <w:r>
        <w:t xml:space="preserve">”. Convidou Randall </w:t>
      </w:r>
      <w:proofErr w:type="spellStart"/>
      <w:r>
        <w:t>Collins</w:t>
      </w:r>
      <w:proofErr w:type="spellEnd"/>
      <w:r>
        <w:t xml:space="preserve">, que tinha feito também uma extensa publicação sobre o tema, numa </w:t>
      </w:r>
      <w:proofErr w:type="spellStart"/>
      <w:r>
        <w:t>perspectiva</w:t>
      </w:r>
      <w:proofErr w:type="spellEnd"/>
      <w:r>
        <w:t xml:space="preserve"> complementar – o primeiro tratado o assunto do ponto de vista </w:t>
      </w:r>
      <w:proofErr w:type="gramStart"/>
      <w:r>
        <w:t>macro sociológico</w:t>
      </w:r>
      <w:proofErr w:type="gramEnd"/>
      <w:r>
        <w:t xml:space="preserve"> e o segundo de um ponto de vista micro sociológico – para uma discussão pública.</w:t>
      </w:r>
    </w:p>
    <w:p w:rsidR="00BF2A56" w:rsidRDefault="00B560C3">
      <w:r>
        <w:t xml:space="preserve">O autor francês concluiu ser a teoria social incompetente para compreender a violência, pois esta inclui uma vertente normativa, a perversidade, a pedra de toque do sentido da violência (ou falta dele) que, por definição, estaria fora do âmbito de intervenção da sociologia. Sociologia entendida como campo disciplinar limitado, portanto, o qual seria necessário ser complementado por outras disciplinas e, sobretudo, por competências multidisciplinares libertadoras dos constrangimentos próprios das ciências sociais. Na senda das propostas do seu mentor intelectual, Alain </w:t>
      </w:r>
      <w:proofErr w:type="spellStart"/>
      <w:r>
        <w:t>Touraine</w:t>
      </w:r>
      <w:proofErr w:type="spellEnd"/>
      <w:r>
        <w:t xml:space="preserve">, cuja teoria do sujeito, do agente social historicamente pertinente, </w:t>
      </w:r>
      <w:proofErr w:type="spellStart"/>
      <w:r>
        <w:t>Wieviorka</w:t>
      </w:r>
      <w:proofErr w:type="spellEnd"/>
      <w:r>
        <w:t xml:space="preserve"> seguiu na sua investigação sobre violência.</w:t>
      </w:r>
    </w:p>
    <w:p w:rsidR="00B560C3" w:rsidRDefault="00B560C3">
      <w:r>
        <w:t xml:space="preserve">No seu livro, o autor passa em revista as principais </w:t>
      </w:r>
      <w:proofErr w:type="spellStart"/>
      <w:r>
        <w:t>concepções</w:t>
      </w:r>
      <w:proofErr w:type="spellEnd"/>
      <w:r>
        <w:t xml:space="preserve"> de violência usadas pelas ciências sociais. Mostra as </w:t>
      </w:r>
      <w:proofErr w:type="spellStart"/>
      <w:r>
        <w:t>respectivas</w:t>
      </w:r>
      <w:proofErr w:type="spellEnd"/>
      <w:r>
        <w:t xml:space="preserve"> insuficiências. Procurou convencer os leitores de que o tema era </w:t>
      </w:r>
      <w:proofErr w:type="gramStart"/>
      <w:r>
        <w:t>mal tratado</w:t>
      </w:r>
      <w:proofErr w:type="gramEnd"/>
      <w:r>
        <w:t xml:space="preserve">, nomeadamente por ser tratado de forma disciplinar, parcelar, incompleta, truncada, com perda de sentido útil para a violência, dificultando a compreensão do assunto. Ao mesmo tempo notou como, após Sartre e o fim da premência das questões coloniais, a violência se tornou tema tabu entre os intelectuais ocidentais. </w:t>
      </w:r>
      <w:proofErr w:type="spellStart"/>
      <w:r w:rsidR="00380AB1">
        <w:t>Malešević</w:t>
      </w:r>
      <w:proofErr w:type="spellEnd"/>
      <w:r w:rsidR="00380AB1">
        <w:t xml:space="preserve"> </w:t>
      </w:r>
      <w:r w:rsidR="00380AB1">
        <w:fldChar w:fldCharType="begin" w:fldLock="1"/>
      </w:r>
      <w:r w:rsidR="00380AB1">
        <w:instrText>ADDIN CSL_CITATION { "citationItems" : [ { "id" : "ITEM-1", "itemData" : { "abstract" : "17 falta de violencia na TS", "author" : [ { "dropping-particle" : "", "family" : "Male\u0161evi\u0107", "given" : "Sini\u0161a", "non-dropping-particle" : "", "parse-names" : false, "suffix" : "" } ], "id" : "ITEM-1", "issued" : { "date-parts" : [ [ "2010" ] ] }, "publisher" : "Cambridge University Press", "publisher-place" : "Cambridge", "title" : "The Sociology of War and Violence", "type" : "book" }, "suppress-author" : 1, "uris" : [ "http://www.mendeley.com/documents/?uuid=dfd358a9-a9a6-4f2e-8daa-af66850bf367" ] } ], "mendeley" : { "formattedCitation" : "(2010)", "manualFormatting" : "(2010:17)", "plainTextFormattedCitation" : "(2010)", "previouslyFormattedCitation" : "(2010)" }, "properties" : {  }, "schema" : "https://github.com/citation-style-language/schema/raw/master/csl-citation.json" }</w:instrText>
      </w:r>
      <w:r w:rsidR="00380AB1">
        <w:fldChar w:fldCharType="separate"/>
      </w:r>
      <w:r w:rsidR="00380AB1" w:rsidRPr="00380AB1">
        <w:rPr>
          <w:noProof/>
        </w:rPr>
        <w:t>(2010</w:t>
      </w:r>
      <w:r w:rsidR="00380AB1">
        <w:rPr>
          <w:noProof/>
        </w:rPr>
        <w:t>:17</w:t>
      </w:r>
      <w:r w:rsidR="00380AB1" w:rsidRPr="00380AB1">
        <w:rPr>
          <w:noProof/>
        </w:rPr>
        <w:t>)</w:t>
      </w:r>
      <w:r w:rsidR="00380AB1">
        <w:fldChar w:fldCharType="end"/>
      </w:r>
      <w:r w:rsidR="00380AB1">
        <w:t xml:space="preserve"> refere que, no caso do meio intelectual anglo-saxónico, foi o fim da Segunda Guerra Mundial o marco histórico que inibiu o campo intelectual de discutir a violência.</w:t>
      </w:r>
    </w:p>
    <w:p w:rsidR="00380AB1" w:rsidRDefault="00380AB1">
      <w:proofErr w:type="spellStart"/>
      <w:r>
        <w:t>Collins</w:t>
      </w:r>
      <w:proofErr w:type="spellEnd"/>
      <w:r>
        <w:t xml:space="preserve"> preferiu começar a estudar a violência usando a tradição do </w:t>
      </w:r>
      <w:proofErr w:type="spellStart"/>
      <w:r>
        <w:t>interaccionismo</w:t>
      </w:r>
      <w:proofErr w:type="spellEnd"/>
      <w:r>
        <w:t xml:space="preserve"> simbólico. Procurou reconhecer situações violentas em que os indivíduos podem ser envolvidos e compreender o modo desse envolvimento, incluindo as possibilidades de fuga. Descobriu que, nas vias urbanas vigiadas pelas máquinas de gravação de imagem das polícias, aquilo que acontece é a demonstração da natureza não violenta das pessoas. Por violência o autor norte-americano recusou-se a entender as ameaças ou as disputas que não incluam contacto físico com dano corporal. A violência psicológica ou a violência simbólica, como a violência de género ou o desprezo com base na etnia, por exemplo, são difusas e mais ou menos omnipresentes. Por isso, atenta </w:t>
      </w:r>
      <w:proofErr w:type="spellStart"/>
      <w:r>
        <w:t>Collins</w:t>
      </w:r>
      <w:proofErr w:type="spellEnd"/>
      <w:r>
        <w:t>, seria impossível tratar com rigor cientifico de um fenómeno de tal modo difuso e prevalecente em todas as situações.</w:t>
      </w:r>
    </w:p>
    <w:p w:rsidR="003B20DC" w:rsidRPr="00E94FD3" w:rsidRDefault="00380AB1" w:rsidP="003B20DC">
      <w:r>
        <w:t xml:space="preserve">A violência não é o único fenómeno social face ao qual a teoria social se encolhe ou se revela, pelo menos, insuficiente. Nem é o único fenómeno social que, por estar sempre presente na vida quotidiana, acaba por ser profusamente imaginado pelos sociólogos e seus leitores como um fantasma. Algo que está presente mas se revela indizível, intratável; na verdade, tabu, incómodo, inconveniente, situação que se torna bastante conveniente para evitar tratar de casos desagradáveis, como os maus tratos a crianças </w:t>
      </w:r>
      <w:r>
        <w:fldChar w:fldCharType="begin" w:fldLock="1"/>
      </w:r>
      <w:r>
        <w:instrText>ADDIN CSL_CITATION { "citationItems" : [ { "id" : "ITEM-1", "itemData" : { "abstract" : "93-95 fam\u00edlia moderna. 93 \u00abThe American family and the American home are perhaps as or more violent than any other single American institution or setting (with the exception of the military, and only in time of war)\u00bb 117 pobres usam violencia f\u00edsica", "author" : [ { "dropping-particle" : "", "family" : "Almeida", "given" : "Ana Nunes", "non-dropping-particle" : "", "parse-names" : false, "suffix" : "" }, { "dropping-particle" : "", "family" : "Andr\u00e9", "given" : "Isabel Margarida", "non-dropping-particle" : "", "parse-names" : false, "suffix" : "" }, { "dropping-particle" : "de", "family" : "Almeida", "given" : "Helena Nunes", "non-dropping-particle" : "", "parse-names" : false, "suffix" : "" } ], "container-title" : "An\u00e1lise Social", "id" : "ITEM-1", "issue" : "150", "issued" : { "date-parts" : [ [ "1999" ] ] }, "page" : "91-121", "title" : "Sombras e marcas, os maus tratos \u00e0s crian\u00e7as na fam\u00edlia", "type" : "article-journal" }, "uris" : [ "http://www.mendeley.com/documents/?uuid=b9a74b41-5d28-4cd1-99c2-a6170d6c24a7" ] } ], "mendeley" : { "formattedCitation" : "(Almeida, Andr\u00e9, &amp; Almeida, 1999)", "plainTextFormattedCitation" : "(Almeida, Andr\u00e9, &amp; Almeida, 1999)", "previouslyFormattedCitation" : "(Almeida, Andr\u00e9, &amp; Almeida, 1999)" }, "properties" : {  }, "schema" : "https://github.com/citation-style-language/schema/raw/master/csl-citation.json" }</w:instrText>
      </w:r>
      <w:r>
        <w:fldChar w:fldCharType="separate"/>
      </w:r>
      <w:r w:rsidRPr="00380AB1">
        <w:rPr>
          <w:noProof/>
        </w:rPr>
        <w:t>(Almeida, André, &amp; Almeida, 1999)</w:t>
      </w:r>
      <w:r>
        <w:fldChar w:fldCharType="end"/>
      </w:r>
      <w:r>
        <w:t xml:space="preserve">. A face, as faces das pessoas, é um outro exemplo de um fantasma no centro das ciências sociais </w:t>
      </w:r>
      <w:r>
        <w:lastRenderedPageBreak/>
        <w:fldChar w:fldCharType="begin" w:fldLock="1"/>
      </w:r>
      <w:r>
        <w:instrText>ADDIN CSL_CITATION { "citationItems" : [ { "id" : "ITEM-1", "itemData" : { "ISBN" : "978-620-2-03674-0", "author" : [ { "dropping-particle" : "", "family" : "Dores", "given" : "Ant\u00f3nio Pedro", "non-dropping-particle" : "", "parse-names" : false, "suffix" : "" } ], "id" : "ITEM-1", "issued" : { "date-parts" : [ [ "2017" ] ] }, "publisher" : "Novas Edi\u00e7\u00f5es Acad\u00e9micas", "publisher-place" : "Beau Bassin", "title" : "Oferecer a face \u2013 tabus e caminhos das ci\u00eancias sociais", "type" : "book" }, "uris" : [ "http://www.mendeley.com/documents/?uuid=27c57021-ff60-4be2-991b-b448c8f9b2a9" ] } ], "mendeley" : { "formattedCitation" : "(Dores, 2017)", "plainTextFormattedCitation" : "(Dores, 2017)", "previouslyFormattedCitation" : "(Dores, 2017)" }, "properties" : {  }, "schema" : "https://github.com/citation-style-language/schema/raw/master/csl-citation.json" }</w:instrText>
      </w:r>
      <w:r>
        <w:fldChar w:fldCharType="separate"/>
      </w:r>
      <w:r w:rsidRPr="00380AB1">
        <w:rPr>
          <w:noProof/>
        </w:rPr>
        <w:t>(Dores, 2017)</w:t>
      </w:r>
      <w:r>
        <w:fldChar w:fldCharType="end"/>
      </w:r>
      <w:r>
        <w:t xml:space="preserve">. </w:t>
      </w:r>
      <w:r w:rsidR="003B20DC">
        <w:t>A</w:t>
      </w:r>
      <w:r w:rsidR="00B32F4E">
        <w:t>s</w:t>
      </w:r>
      <w:r w:rsidR="003B20DC">
        <w:t xml:space="preserve"> experiência</w:t>
      </w:r>
      <w:r w:rsidR="00B32F4E">
        <w:t>s</w:t>
      </w:r>
      <w:r w:rsidR="003B20DC">
        <w:t xml:space="preserve"> d</w:t>
      </w:r>
      <w:r w:rsidR="00B32F4E">
        <w:t>e</w:t>
      </w:r>
      <w:r w:rsidR="003B20DC">
        <w:t xml:space="preserve"> liberdade </w:t>
      </w:r>
      <w:r w:rsidR="00B32F4E">
        <w:t>e de libertação são</w:t>
      </w:r>
      <w:r w:rsidR="003B20DC">
        <w:t xml:space="preserve"> melhor captada</w:t>
      </w:r>
      <w:r w:rsidR="00B32F4E">
        <w:t>s</w:t>
      </w:r>
      <w:r w:rsidR="003B20DC">
        <w:t xml:space="preserve">, </w:t>
      </w:r>
      <w:r w:rsidR="00B32F4E">
        <w:t xml:space="preserve">notou </w:t>
      </w:r>
      <w:proofErr w:type="spellStart"/>
      <w:r w:rsidR="00B32F4E">
        <w:t>Honneth</w:t>
      </w:r>
      <w:proofErr w:type="spellEnd"/>
      <w:r w:rsidR="00B32F4E">
        <w:t xml:space="preserve"> (</w:t>
      </w:r>
      <w:r w:rsidR="00B32F4E" w:rsidRPr="005B7ADC">
        <w:rPr>
          <w:noProof/>
        </w:rPr>
        <w:t>2015</w:t>
      </w:r>
      <w:r w:rsidR="00B32F4E">
        <w:rPr>
          <w:noProof/>
        </w:rPr>
        <w:t xml:space="preserve">) </w:t>
      </w:r>
      <w:r w:rsidR="003B20DC">
        <w:t>empiricamente, através das</w:t>
      </w:r>
      <w:r w:rsidR="00B32F4E">
        <w:t xml:space="preserve"> expressões</w:t>
      </w:r>
      <w:r w:rsidR="003B20DC">
        <w:t xml:space="preserve"> art</w:t>
      </w:r>
      <w:r w:rsidR="00B32F4E">
        <w:t xml:space="preserve">ísticas </w:t>
      </w:r>
      <w:r w:rsidR="003B20DC">
        <w:t>do que das descrições científicas</w:t>
      </w:r>
      <w:r w:rsidR="00B32F4E">
        <w:t xml:space="preserve">. As primeiras, ao contrário das segundas, referem-se à </w:t>
      </w:r>
      <w:proofErr w:type="spellStart"/>
      <w:r w:rsidR="00B32F4E" w:rsidRPr="00B32F4E">
        <w:rPr>
          <w:i/>
        </w:rPr>
        <w:t>eticidade</w:t>
      </w:r>
      <w:proofErr w:type="spellEnd"/>
      <w:r w:rsidR="00B32F4E">
        <w:t xml:space="preserve">, isto é, à moral social subjacente às diferentes formas de liberdade, ao espírito da época e dos grupos sociais particulares. </w:t>
      </w:r>
    </w:p>
    <w:p w:rsidR="00380AB1" w:rsidRDefault="00380AB1">
      <w:r>
        <w:t>Ao contrário da sociologia da violência ou da face</w:t>
      </w:r>
      <w:r w:rsidR="003B20DC">
        <w:t xml:space="preserve"> ou da liberdade</w:t>
      </w:r>
      <w:r>
        <w:t xml:space="preserve">, que não têm grande expressão, as emoções, os corpos, o tempo, o direito, são exemplos de assuntos que beneficiam de subdisciplinas sociológicas especializadas, todas a queixarem-se das limitações analíticas impostas pelas teorias sociais dominantes e todas à procura de teorias e métodos mais capazes de orientar a produção de conhecimentos especializados. Todas com dificuldades em ter alguma influência nas teorias sociais dominantes, que têm permanecido </w:t>
      </w:r>
      <w:r w:rsidR="00C8530C">
        <w:t xml:space="preserve">aparentemente insensíveis à identificação de lacunas. </w:t>
      </w:r>
    </w:p>
    <w:p w:rsidR="00C8530C" w:rsidRDefault="00C8530C">
      <w:r>
        <w:t xml:space="preserve">Na verdade, as ciências sociais distinguem-se das ciências não apenas por terem </w:t>
      </w:r>
      <w:proofErr w:type="spellStart"/>
      <w:r>
        <w:t>objectos</w:t>
      </w:r>
      <w:proofErr w:type="spellEnd"/>
      <w:r>
        <w:t xml:space="preserve"> de estudo </w:t>
      </w:r>
      <w:proofErr w:type="gramStart"/>
      <w:r>
        <w:t>distintos</w:t>
      </w:r>
      <w:proofErr w:type="gramEnd"/>
      <w:r>
        <w:t xml:space="preserve"> mas, sobretudo, por as primeiras não estabelecerem programas colaborativos de investigação em torno de problemas bem identificados e sistematicamente atacados por diversos ângulos, até que o problema seja superado e novos problemas colocados. As ciências sociais foram fortemente impulsionadas pelo positivismo, no século XIX, que aspirava à integração entre as </w:t>
      </w:r>
      <w:proofErr w:type="spellStart"/>
      <w:r>
        <w:t>perspectivas</w:t>
      </w:r>
      <w:proofErr w:type="spellEnd"/>
      <w:r>
        <w:t xml:space="preserve"> mecânicas, newtonianas, e as </w:t>
      </w:r>
      <w:proofErr w:type="spellStart"/>
      <w:r>
        <w:t>perspectivas</w:t>
      </w:r>
      <w:proofErr w:type="spellEnd"/>
      <w:r>
        <w:t xml:space="preserve"> complexas, mais próprias do evolucionismo e da biologia e cosmologia modernas, a que as ciências sociais deveriam oferecer um amplo espaço de complexidade e de oportunidades. </w:t>
      </w:r>
      <w:proofErr w:type="spellStart"/>
      <w:r>
        <w:t>Actualmente</w:t>
      </w:r>
      <w:proofErr w:type="spellEnd"/>
      <w:r>
        <w:t xml:space="preserve">, porém, apesar do surgimento das teorias da complexidade e do caos, dos computadores, da imagiologia, das capacidades de registo de som e imagem, e das capacidades de cálculo sempre cada vez mais maiores e melhores, as ciências sociais remeteram-se para a mecânica dos modelos abstratos </w:t>
      </w:r>
      <w:r>
        <w:fldChar w:fldCharType="begin" w:fldLock="1"/>
      </w:r>
      <w:r>
        <w:instrText>ADDIN CSL_CITATION { "citationItems" : [ { "id" : "ITEM-1", "itemData" : { "abstract" : "risco, crise, transforma\u00e7\u00e3o, previs\u00e3o do impriv\u00edsivel e do irrevers\u00edvel, risk, transformation", "author" : [ { "dropping-particle" : "", "family" : "Lordon", "given" : "Fr\u00e9d\u00e9ric", "non-dropping-particle" : "", "parse-names" : false, "suffix" : "" } ], "container-title" : "Regulation Revues", "id" : "ITEM-1", "issued" : { "date-parts" : [ [ "2009" ] ] }, "title" : "After the financial crisis: regulation or radical overhaul ? The shortcomings of prudential policies", "type" : "article-journal" }, "uris" : [ "http://www.mendeley.com/documents/?uuid=479497ef-460a-425f-aa1e-376e4c50fe31" ] } ], "mendeley" : { "formattedCitation" : "(Lordon, 2009)", "plainTextFormattedCitation" : "(Lordon, 2009)", "previouslyFormattedCitation" : "(Lordon, 2009)" }, "properties" : {  }, "schema" : "https://github.com/citation-style-language/schema/raw/master/csl-citation.json" }</w:instrText>
      </w:r>
      <w:r>
        <w:fldChar w:fldCharType="separate"/>
      </w:r>
      <w:r w:rsidRPr="00C8530C">
        <w:rPr>
          <w:noProof/>
        </w:rPr>
        <w:t>(Lordon, 2009)</w:t>
      </w:r>
      <w:r>
        <w:fldChar w:fldCharType="end"/>
      </w:r>
      <w:r>
        <w:t xml:space="preserve">, fechadas em prisões </w:t>
      </w:r>
      <w:proofErr w:type="spellStart"/>
      <w:r>
        <w:t>auto-administradas</w:t>
      </w:r>
      <w:proofErr w:type="spellEnd"/>
      <w:r>
        <w:t xml:space="preserve">, com o pretexto de não haver condições éticas e morais para organizar experiências laboratoriais com as sociedades. Ao mesmo tempo que, do lado das ciências naturais, se tornam claros os limites cognitivos impostos, precisamente, pelo monopólio dos estudos experimentais e a necessidade de reconhecer os fluxos históricos de tempo como variável estruturante </w:t>
      </w:r>
      <w:r>
        <w:fldChar w:fldCharType="begin" w:fldLock="1"/>
      </w:r>
      <w:r>
        <w:instrText>ADDIN CSL_CITATION { "citationItems" : [ { "id" : "ITEM-1", "itemData" : { "author" : [ { "dropping-particle" : "", "family" : "Prigogine", "given" : "Ilya", "non-dropping-particle" : "", "parse-names" : false, "suffix" : "" } ], "id" : "ITEM-1", "issued" : { "date-parts" : [ [ "1996" ] ] }, "publisher" : "Gradiva", "publisher-place" : "Lisboa", "title" : "O Fim das Certezas", "type" : "book" }, "uris" : [ "http://www.mendeley.com/documents/?uuid=05aa39ab-641b-4774-b81a-6f0ed1c6b49d" ] }, { "id" : "ITEM-2", "itemData" : { "abstract" : "3: duas quest\u00f5es muito profundas, perfeitamente distintas.as constantes da natureza variam no tempo; em segundo lugar, mais radical- mente, se as pr\u00f3prias leis da f\u00edsica variam no tempo. 3-4: \"Dirac estava a opor-se \u00e0 numerologia. Talvez, sugeriu ele, estas constantes n\u00e3o sejam afinal constantes,mas sim mais um exemplo dos campos que entram em teorias f\u00edsicas.\" 7: Mas, nos dias de hoje, tal \u00e9 a obsess\u00e3o com formalismo e matem\u00e1tica que a f\u00edsica se perde de vista.", "author" : [ { "dropping-particle" : "", "family" : "Magueijo", "given" : "Jo\u00e3o", "non-dropping-particle" : "", "parse-names" : false, "suffix" : "" } ], "container-title" : "Gazet da F\u00edsica", "id" : "ITEM-2", "issue" : "2", "issued" : { "date-parts" : [ [ "2010" ] ] }, "page" : "2-8", "title" : "A anarquia e as leis da f\u00edsica", "type" : "article-journal", "volume" : "33" }, "uris" : [ "http://www.mendeley.com/documents/?uuid=d1bd32f3-6d0d-46ed-b0d8-c6a52600d21d" ] }, { "id" : "ITEM-3", "itemData" : { "author" : [ { "dropping-particle" : "", "family" : "Buesco", "given" : "Jorge", "non-dropping-particle" : "", "parse-names" : false, "suffix" : "" } ], "container-title" : "Ingenium", "id" : "ITEM-3", "issued" : { "date-parts" : [ [ "2004" ] ] }, "number-of-pages" : "72-74", "publisher-place" : "Lisboa", "title" : "Somos todos nobres \u2026 e servos!", "type" : "report" }, "uris" : [ "http://www.mendeley.com/documents/?uuid=94a81807-9415-4778-9e84-637d21d0e5e8" ] } ], "mendeley" : { "formattedCitation" : "(Buesco, 2004; Magueijo, 2010; Prigogine, 1996)", "plainTextFormattedCitation" : "(Buesco, 2004; Magueijo, 2010; Prigogine, 1996)", "previouslyFormattedCitation" : "(Buesco, 2004; Magueijo, 2010; Prigogine, 1996)" }, "properties" : {  }, "schema" : "https://github.com/citation-style-language/schema/raw/master/csl-citation.json" }</w:instrText>
      </w:r>
      <w:r>
        <w:fldChar w:fldCharType="separate"/>
      </w:r>
      <w:r w:rsidRPr="00C8530C">
        <w:rPr>
          <w:noProof/>
        </w:rPr>
        <w:t>(Buesco, 2004; Magueijo, 2010; Prigogine, 1996)</w:t>
      </w:r>
      <w:r>
        <w:fldChar w:fldCharType="end"/>
      </w:r>
      <w:r>
        <w:t>.</w:t>
      </w:r>
    </w:p>
    <w:p w:rsidR="00C8530C" w:rsidRDefault="00C8530C">
      <w:r>
        <w:t xml:space="preserve">O maior problema das ciências sociais é estarem comprometidas com a promoção da moral moderna como o fim das ideologias </w:t>
      </w:r>
      <w:r>
        <w:fldChar w:fldCharType="begin" w:fldLock="1"/>
      </w:r>
      <w:r>
        <w:instrText>ADDIN CSL_CITATION { "citationItems" : [ { "id" : "ITEM-1", "itemData" : { "author" : [ { "dropping-particle" : "", "family" : "Kuhn", "given" : "T. S.", "non-dropping-particle" : "", "parse-names" : false, "suffix" : "" } ], "id" : "ITEM-1", "issued" : { "date-parts" : [ [ "1970" ] ] }, "publisher" : "Flammarion", "publisher-place" : "Paris", "title" : "La structure des r\u00e9volutions scientifiques", "type" : "book" }, "uris" : [ "http://www.mendeley.com/documents/?uuid=918e7551-5397-454b-a72a-467ab8462380" ] }, { "id" : "ITEM-2", "itemData" : { "abstract" : "15 \"onde est\u00e1 a sociologia do conflito?\" 18-19 a gera\u00e7\u00e3o p\u00f3s-guerra n\u00e3o tratou do conflito 27 \u201cMost important, perhaps is the change that has taken place in the last few decades in the position of the sociologist. The rise of applied social science in this period and the concomitant opening up of opportunities for sociologists to affiliate themselves with extra-academic organizations ranks first in this respect. Whereas in the earlier period sociology was almost completely an academic discipline, the last decades have witnessed the rise of applied sociology and the utilization of the research findings and research personnel of sociology by various public and private bureaucracies, they have relinquished to a large extent the freedom to choose their own problems, substituting the problems of their clients for those which might have interested them on purely theoretical grounds.\u201d 29 \u201cWhile early American sociologists addressed themselves primarily to an audience of conflict-oriented group-lawyers, reformers, radicals, politicians \u2013 later American sociologists have found their audience largely among groups and professions concerned with the strengthening of common values and the minimizing of group conflict: social workers, mental health experts, religious leaders, educators, as well as administrators, public and private. The relative weakness of reform movements in the later period and the rise of bureaucratic structures requiring the services of social scientists in the task of administration have helped to bring about this shift in audience. Accompanying this shift, the self-image of many sociologist has changed from that of a self-conscious advocate of reform to that of a \u00b4trouble shooter\u00b4 and expert in human relations.\u201d", "author" : [ { "dropping-particle" : "", "family" : "Coser", "given" : "Lewis A.", "non-dropping-particle" : "", "parse-names" : false, "suffix" : "" } ], "id" : "ITEM-2", "issued" : { "date-parts" : [ [ "1956" ] ] }, "publisher" : "Free Press", "publisher-place" : "NY", "title" : "The Functions of Social Conflict", "type" : "book" }, "uris" : [ "http://www.mendeley.com/documents/?uuid=21289882-5f1f-4db1-b8b5-e2f7920f9ad9" ] } ], "mendeley" : { "formattedCitation" : "(Coser, 1956; Kuhn, 1970)", "manualFormatting" : "(Coser, 1956:27; Kuhn, 1970)", "plainTextFormattedCitation" : "(Coser, 1956; Kuhn, 1970)", "previouslyFormattedCitation" : "(Coser, 1956; Kuhn, 1970)" }, "properties" : {  }, "schema" : "https://github.com/citation-style-language/schema/raw/master/csl-citation.json" }</w:instrText>
      </w:r>
      <w:r>
        <w:fldChar w:fldCharType="separate"/>
      </w:r>
      <w:r w:rsidRPr="00C8530C">
        <w:rPr>
          <w:noProof/>
        </w:rPr>
        <w:t>(Coser, 1956</w:t>
      </w:r>
      <w:r>
        <w:rPr>
          <w:noProof/>
        </w:rPr>
        <w:t>:27</w:t>
      </w:r>
      <w:r w:rsidRPr="00C8530C">
        <w:rPr>
          <w:noProof/>
        </w:rPr>
        <w:t>; Kuhn, 1970)</w:t>
      </w:r>
      <w:r>
        <w:fldChar w:fldCharType="end"/>
      </w:r>
      <w:r>
        <w:t>. A sua prisão é não se permitirem sair do redil de tempo e idealismo moral próprio das esperanças iluministas realizadas pelo capitalismo moderno. Ensinam a pensar como se antes da Revolução Francesa toda a experiência humana pudesse ser reduzida a práticas e crenças mágicas e tradicionais, como se a Renascença e, sobretudo, o Império, nunca tivessem existido e não estejam vivos entre nós. Por exemplo, quando reclamamos por trabalhos com sentido ou quando mantemos a organização misógina e elitista como modelo único de cooperação legítima entre as pessoas, que estamos a fazer senão relembrar as promessas iluministas e a conceder crédito ilimitado ao Império – que depois o utiliza para nos cobrar juros, como se tem visto?</w:t>
      </w:r>
    </w:p>
    <w:p w:rsidR="00C8530C" w:rsidRDefault="00C8530C">
      <w:r>
        <w:t xml:space="preserve">O que há a fazer é, pois, aprender a tomar toda a humanidade, toda a experiência da espécie humana, como </w:t>
      </w:r>
      <w:proofErr w:type="spellStart"/>
      <w:r>
        <w:t>objecto</w:t>
      </w:r>
      <w:proofErr w:type="spellEnd"/>
      <w:r>
        <w:t xml:space="preserve"> de estudo das ciências sociais </w:t>
      </w:r>
      <w:r>
        <w:fldChar w:fldCharType="begin" w:fldLock="1"/>
      </w:r>
      <w:r>
        <w:instrText>ADDIN CSL_CITATION { "citationItems" : [ { "id" : "ITEM-1", "itemData" : { "author" : [ { "dropping-particle" : "", "family" : "Morris", "given" : "Ian", "non-dropping-particle" : "", "parse-names" : false, "suffix" : "" } ], "edition" : "1\u00aa ed. 201", "id" : "ITEM-1", "issued" : { "date-parts" : [ [ "2013" ] ] }, "publisher" : "Bertrand", "publisher-place" : "Lisboa", "title" : "O Dom\u00ednio do Ocidente", "type" : "book" }, "uris" : [ "http://www.mendeley.com/documents/?uuid=c90debdb-1bdb-4951-b1f1-41296ed43f2f" ] }, { "id" : "ITEM-2", "itemData" : { "abstract" : "264-273 cultura moderna equipara Deus \u00e0s m\u00e1quinas matem\u00e1ticas", "author" : [ { "dropping-particle" : "", "family" : "Fara", "given" : "Patricia", "non-dropping-particle" : "", "parse-names" : false, "suffix" : "" } ], "id" : "ITEM-2", "issued" : { "date-parts" : [ [ "2009" ] ] }, "publisher" : "Oxford University Press", "publisher-place" : "Oxford", "title" : "Science: a Four Thousand Years History", "type" : "book" }, "uris" : [ "http://www.mendeley.com/documents/?uuid=0436c513-cdb9-46c3-86ca-90f33de1f1a5" ] }, { "id" : "ITEM-3", "itemData" : { "abstract" : "mafia - 163 tipos de economia 94-113", "author" : [ { "dropping-particle" : "", "family" : "Graeber", "given" : "David", "non-dropping-particle" : "", "parse-names" : false, "suffix" : "" } ], "id" : "ITEM-3", "issued" : { "date-parts" : [ [ "2011" ] ] }, "publisher" : "Melville House Publishing", "publisher-place" : "NY", "title" : "Debt \u2013 the First 5000 Years", "type" : "book" }, "uris" : [ "http://www.mendeley.com/documents/?uuid=98d4daad-a42d-47ae-846e-8b0e92a4beb2" ] } ], "mendeley" : { "formattedCitation" : "(Fara, 2009; Graeber, 2011; Morris, 2013)", "plainTextFormattedCitation" : "(Fara, 2009; Graeber, 2011; Morris, 2013)", "previouslyFormattedCitation" : "(Fara, 2009; Graeber, 2011; Morris, 2013)" }, "properties" : {  }, "schema" : "https://github.com/citation-style-language/schema/raw/master/csl-citation.json" }</w:instrText>
      </w:r>
      <w:r>
        <w:fldChar w:fldCharType="separate"/>
      </w:r>
      <w:r w:rsidRPr="00C8530C">
        <w:rPr>
          <w:noProof/>
        </w:rPr>
        <w:t>(Fara, 2009; Graeber, 2011; Morris, 2013)</w:t>
      </w:r>
      <w:r>
        <w:fldChar w:fldCharType="end"/>
      </w:r>
      <w:r>
        <w:t xml:space="preserve">. Tomar o meio ambiente como fonte do processo evolutivo que gerou a espécie humana e fazer, assim, as pontes entre as ciências naturais e sociais capazes de as fazer cooperar mutuamente </w:t>
      </w:r>
      <w:r>
        <w:fldChar w:fldCharType="begin" w:fldLock="1"/>
      </w:r>
      <w:r>
        <w:instrText>ADDIN CSL_CITATION { "citationItems" : [ { "id" : "ITEM-1", "itemData" : { "author" : [ { "dropping-particle" : "", "family" : "Harvey", "given" : "David", "non-dropping-particle" : "", "parse-names" : false, "suffix" : "" } ], "id" : "ITEM-1", "issued" : { "date-parts" : [ [ "2011" ] ] }, "publisher" : "Routledge", "publisher-place" : "NY", "title" : "Spaces of capital: towards a critical geography", "type" : "book" }, "uris" : [ "http://www.mendeley.com/documents/?uuid=10362800-406b-49e2-a891-f13fbca0c22e" ] }, { "id" : "ITEM-2", "itemData" : { "abstract" : "desastre ilha de p\u00e1scoa destrui\u00e7\u00e3o do ambiente", "author" : [ { "dropping-particle" : "", "family" : "Diamond", "given" : "Jared", "non-dropping-particle" : "", "parse-names" : false, "suffix" : "" } ], "edition" : "1\u00aa edi\u00e7\u00e3o", "id" : "ITEM-2", "issued" : { "date-parts" : [ [ "2008" ] ] }, "publisher" : "Gradiva", "publisher-place" : "Lisboa", "title" : "Colapso - ascens\u00e3o e queda das sociedades humanas", "type" : "book" }, "uris" : [ "http://www.mendeley.com/documents/?uuid=e44c1adf-a55c-4254-adb2-bc4ed1b4cc87" ] } ], "mendeley" : { "formattedCitation" : "(Diamond, 2008; Harvey, 2011)", "plainTextFormattedCitation" : "(Diamond, 2008; Harvey, 2011)", "previouslyFormattedCitation" : "(Diamond, 2008; Harvey, 2011)" }, "properties" : {  }, "schema" : "https://github.com/citation-style-language/schema/raw/master/csl-citation.json" }</w:instrText>
      </w:r>
      <w:r>
        <w:fldChar w:fldCharType="separate"/>
      </w:r>
      <w:r w:rsidRPr="00C8530C">
        <w:rPr>
          <w:noProof/>
        </w:rPr>
        <w:t>(Diamond, 2008; Harvey, 2011)</w:t>
      </w:r>
      <w:r>
        <w:fldChar w:fldCharType="end"/>
      </w:r>
      <w:r>
        <w:t>.</w:t>
      </w:r>
    </w:p>
    <w:p w:rsidR="00C8530C" w:rsidRDefault="00C8530C">
      <w:r>
        <w:lastRenderedPageBreak/>
        <w:t xml:space="preserve">Nesta </w:t>
      </w:r>
      <w:proofErr w:type="spellStart"/>
      <w:r>
        <w:t>perspectiva</w:t>
      </w:r>
      <w:proofErr w:type="spellEnd"/>
      <w:r>
        <w:t xml:space="preserve">, se sacudirmos os moralismos modernistas que dissimulam a parte inconveniente das nossas vidas, aos nossos olhos mundanamente influenciados pelas teorias sociais, de forma </w:t>
      </w:r>
      <w:proofErr w:type="gramStart"/>
      <w:r>
        <w:t>eficiente,  a</w:t>
      </w:r>
      <w:proofErr w:type="gramEnd"/>
      <w:r>
        <w:t xml:space="preserve"> violência deve ser procurada, ao mesmo tempo, no cosmos e no nosso íntimo. A violência não resulta da política nem da religião, nem do sentido que os mais poderosos entre os humanos podem impor à sua volta. A violência é parte integrante da vida de todos os seres vivos, evidentemente. A organização política e religiosa, sendo típica da espécie humana e manipuladora da violência, não é a sua fonte. É, ao invés, a gestora da violência social, em favor de algumas </w:t>
      </w:r>
      <w:proofErr w:type="spellStart"/>
      <w:r>
        <w:t>direcções</w:t>
      </w:r>
      <w:proofErr w:type="spellEnd"/>
      <w:r>
        <w:t xml:space="preserve"> de </w:t>
      </w:r>
      <w:proofErr w:type="spellStart"/>
      <w:r>
        <w:t>acção</w:t>
      </w:r>
      <w:proofErr w:type="spellEnd"/>
      <w:r>
        <w:t xml:space="preserve"> social, iludindo quanto possível a possibilidade de dirigir a </w:t>
      </w:r>
      <w:proofErr w:type="spellStart"/>
      <w:r>
        <w:t>acção</w:t>
      </w:r>
      <w:proofErr w:type="spellEnd"/>
      <w:r>
        <w:t xml:space="preserve"> social noutras </w:t>
      </w:r>
      <w:proofErr w:type="spellStart"/>
      <w:r>
        <w:t>direcções</w:t>
      </w:r>
      <w:proofErr w:type="spellEnd"/>
      <w:r>
        <w:t xml:space="preserve">. A religião e a política aprenderam a mobilizar a violência em proveito das classes dominantes, aflitas por saberem, sentirem, estarem em posição incómoda de usurpadoras das potencialidades sociais. Estão, por isso, </w:t>
      </w:r>
      <w:proofErr w:type="spellStart"/>
      <w:proofErr w:type="gramStart"/>
      <w:r>
        <w:t>sujectiva</w:t>
      </w:r>
      <w:proofErr w:type="spellEnd"/>
      <w:r>
        <w:t xml:space="preserve">  </w:t>
      </w:r>
      <w:proofErr w:type="spellStart"/>
      <w:r>
        <w:t>objectivamente</w:t>
      </w:r>
      <w:proofErr w:type="spellEnd"/>
      <w:proofErr w:type="gramEnd"/>
      <w:r>
        <w:t xml:space="preserve">, sempre em risco de serem atacadas. Pelo que organizaram, ao longo da experiência humana, modos de </w:t>
      </w:r>
      <w:proofErr w:type="spellStart"/>
      <w:r>
        <w:t>auto-defesa</w:t>
      </w:r>
      <w:proofErr w:type="spellEnd"/>
      <w:r>
        <w:t xml:space="preserve"> que, frequentemente, são agressivos. Na medida em que o ataque é, como se di</w:t>
      </w:r>
      <w:r w:rsidR="004E7F64">
        <w:t>z no desporto, a melhor defesa.</w:t>
      </w:r>
    </w:p>
    <w:p w:rsidR="004E7F64" w:rsidRDefault="004E7F64">
      <w:r>
        <w:t xml:space="preserve">A violência pode ser definida, cientificamente, como aquilo que causa a redução ao corpo dos seres vivos. As causas podem ser políticas ou religiosas, ou da perversidade de alguma </w:t>
      </w:r>
      <w:proofErr w:type="spellStart"/>
      <w:r>
        <w:t>acção</w:t>
      </w:r>
      <w:proofErr w:type="spellEnd"/>
      <w:r>
        <w:t xml:space="preserve"> que poderia ser dispensável. Mas também podem ser psicológicas ou simbólicas, quando, embora não toquem nas pessoas, têm consequências físicas ou psicológicas </w:t>
      </w:r>
      <w:proofErr w:type="spellStart"/>
      <w:r>
        <w:t>efectivas</w:t>
      </w:r>
      <w:proofErr w:type="spellEnd"/>
      <w:r>
        <w:t>.</w:t>
      </w:r>
    </w:p>
    <w:p w:rsidR="004E7F64" w:rsidRDefault="004E7F64">
      <w:r>
        <w:t xml:space="preserve">Tal definição presume que os corpos dos seres vivos se expandem em consciências </w:t>
      </w:r>
      <w:r>
        <w:fldChar w:fldCharType="begin" w:fldLock="1"/>
      </w:r>
      <w:r>
        <w:instrText>ADDIN CSL_CITATION { "citationItems" : [ { "id" : "ITEM-1", "itemData" : { "author" : [ { "dropping-particle" : "", "family" : "Dam\u00e1sio", "given" : "Ant\u00f3nio", "non-dropping-particle" : "", "parse-names" : false, "suffix" : "" } ], "id" : "ITEM-1", "issued" : { "date-parts" : [ [ "2010" ] ] }, "publisher" : "C\u00edrculo de Leitores", "publisher-place" : "Lisboa", "title" : "O Livro da Consci\u00eancia - a Constru\u00e7\u00e3o do C\u00e9rebro Consciente", "type" : "book" }, "uris" : [ "http://www.mendeley.com/documents/?uuid=9b8a33bc-a26a-465e-888c-1bc13f671b91" ] } ], "mendeley" : { "formattedCitation" : "(Dam\u00e1sio, 2010)", "plainTextFormattedCitation" : "(Dam\u00e1sio, 2010)", "previouslyFormattedCitation" : "(Dam\u00e1sio, 2010)" }, "properties" : {  }, "schema" : "https://github.com/citation-style-language/schema/raw/master/csl-citation.json" }</w:instrText>
      </w:r>
      <w:r>
        <w:fldChar w:fldCharType="separate"/>
      </w:r>
      <w:r w:rsidRPr="004E7F64">
        <w:rPr>
          <w:noProof/>
        </w:rPr>
        <w:t>(Damásio, 2010)</w:t>
      </w:r>
      <w:r>
        <w:fldChar w:fldCharType="end"/>
      </w:r>
      <w:r>
        <w:t xml:space="preserve">. Há circunstâncias em que a expansão das consciências é reduzida ao corpo. O que não é necessariamente desagradável ou mau. Por exemplo, a meditação é o esforço </w:t>
      </w:r>
      <w:proofErr w:type="spellStart"/>
      <w:r>
        <w:t>auto-intencional</w:t>
      </w:r>
      <w:proofErr w:type="spellEnd"/>
      <w:r>
        <w:t xml:space="preserve"> de reduzir a experiência </w:t>
      </w:r>
      <w:proofErr w:type="gramStart"/>
      <w:r>
        <w:t>das pessoa</w:t>
      </w:r>
      <w:proofErr w:type="gramEnd"/>
      <w:r>
        <w:t xml:space="preserve"> ao corpo, para benefício geral da vida. O desporto e o treino, igualmente, são </w:t>
      </w:r>
      <w:proofErr w:type="gramStart"/>
      <w:r>
        <w:t>práticas</w:t>
      </w:r>
      <w:proofErr w:type="gramEnd"/>
      <w:r>
        <w:t xml:space="preserve"> de concentração nos corpos e redução de tal modo que potencie as capacidades de </w:t>
      </w:r>
      <w:proofErr w:type="spellStart"/>
      <w:r>
        <w:t>acção</w:t>
      </w:r>
      <w:proofErr w:type="spellEnd"/>
      <w:r>
        <w:t xml:space="preserve"> sem interferência da consciência. As práticas sexuais são outro exemplo de violência, de redução ao corpo, em que a dor e o prazer se associam de forma íntima e indissociável para efeitos de reprodução da espécie, resultantes da evolução da vida na Terra.</w:t>
      </w:r>
    </w:p>
    <w:p w:rsidR="00380AB1" w:rsidRDefault="00380AB1"/>
    <w:p w:rsidR="005B7ADC" w:rsidRDefault="005B7ADC" w:rsidP="005B7ADC"/>
    <w:p w:rsidR="005B7ADC" w:rsidRDefault="005B7ADC" w:rsidP="005B7ADC"/>
    <w:p w:rsidR="00BF2A56" w:rsidRDefault="00BF2A56"/>
    <w:sectPr w:rsidR="00BF2A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E"/>
    <w:rsid w:val="0006138E"/>
    <w:rsid w:val="00380AB1"/>
    <w:rsid w:val="003B20DC"/>
    <w:rsid w:val="00491271"/>
    <w:rsid w:val="004E7F64"/>
    <w:rsid w:val="005B7ADC"/>
    <w:rsid w:val="00686B52"/>
    <w:rsid w:val="00B32F4E"/>
    <w:rsid w:val="00B560C3"/>
    <w:rsid w:val="00BF2A56"/>
    <w:rsid w:val="00C8530C"/>
    <w:rsid w:val="00F73B98"/>
    <w:rsid w:val="00F9192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8A7E"/>
  <w15:chartTrackingRefBased/>
  <w15:docId w15:val="{DA244309-5DEE-4843-9B3E-403A13A8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BAD1C-41B7-4C03-BB01-259189ED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3777</Words>
  <Characters>20402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Dores</cp:lastModifiedBy>
  <cp:revision>3</cp:revision>
  <dcterms:created xsi:type="dcterms:W3CDTF">2017-12-27T16:53:00Z</dcterms:created>
  <dcterms:modified xsi:type="dcterms:W3CDTF">2017-12-27T17:07:00Z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6a86be35-736d-3b6b-bca5-b0a474a8a1c6</vt:lpwstr>
  </property>
  <property fmtid="{D5CDD505-2E9C-101B-9397-08002B2CF9AE}" pid="24" name="Mendeley Citation Style_1">
    <vt:lpwstr>http://www.zotero.org/styles/apa</vt:lpwstr>
  </property>
</Properties>
</file>