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93" w:rsidRDefault="003A16FD">
      <w:pPr>
        <w:jc w:val="center"/>
      </w:pPr>
      <w:r>
        <w:t>Violência e sociologia</w:t>
      </w:r>
    </w:p>
    <w:p w:rsidR="00B07993" w:rsidRDefault="003A16FD">
      <w:r>
        <w:t xml:space="preserve">Estima-se que durante a maior parte do tempo de existência da humanidade as mortes violentas eram bastante mais frequentes que actualmente. Não havia formas de </w:t>
      </w:r>
      <w:r>
        <w:t xml:space="preserve">protecção ambiental e </w:t>
      </w:r>
      <w:proofErr w:type="gramStart"/>
      <w:r>
        <w:t>social tão eficazes</w:t>
      </w:r>
      <w:proofErr w:type="gramEnd"/>
      <w:r>
        <w:t xml:space="preserve"> como há hoje. Não havia animais ou plantas domesticadas, não havia agricultura ou cidades.</w:t>
      </w:r>
    </w:p>
    <w:p w:rsidR="00B07993" w:rsidRDefault="003A16FD">
      <w:r>
        <w:t>Recentemente na história da espécie humana, a organização das comunidades tornou-se agressiva: deixou de acreditar e respei</w:t>
      </w:r>
      <w:r>
        <w:t>tar nas dinâmicas espontâneas – a natureza – e criou dinâmicas de reconfiguração do ambiente, primeiro no campo, depois em cidades, mais tarde em indústrias e por fim no mundo virtual, incluindo extensão da esperança de vida pela medicina e reprodução assi</w:t>
      </w:r>
      <w:r>
        <w:t xml:space="preserve">stida. A confiança deixou de ser depositada sobretudo na harmonia ou desarmonia da vida dos deuses e passou a ser assunto de estado. A estabilidade pessoal passou a ser um poder atribuído aos poderosos. Poder unidimensional – sempre bom – que poderia, por </w:t>
      </w:r>
      <w:r>
        <w:t xml:space="preserve">isso, ser distribuído. Por exemplo, através das reservas de alimentos ou do sistema financeiro. O mundo dos deuses passou a poder ser usurpado por diabretes. As revoltas, voltar ao </w:t>
      </w:r>
      <w:proofErr w:type="gramStart"/>
      <w:r>
        <w:t>principio</w:t>
      </w:r>
      <w:proofErr w:type="gramEnd"/>
      <w:r>
        <w:t>, passaram a ser úteis para afastar do poder aqueles que não respe</w:t>
      </w:r>
      <w:r>
        <w:t>itam a linearidade do contrato: as pessoas comuns confiam nos seus dirigentes para que eles velem organizadamente por elas.</w:t>
      </w:r>
    </w:p>
    <w:p w:rsidR="00B07993" w:rsidRDefault="003A16FD">
      <w:r>
        <w:t>A produção de confiança, através da propaganda, da publicidade, da ideologia, dos jogos, da opressão, da submissão, tornou-se um com</w:t>
      </w:r>
      <w:r>
        <w:t xml:space="preserve">plexo de sectores industrializados, desde os </w:t>
      </w:r>
      <w:proofErr w:type="gramStart"/>
      <w:r>
        <w:t>media</w:t>
      </w:r>
      <w:proofErr w:type="gramEnd"/>
      <w:r>
        <w:t xml:space="preserve"> ao entretenimento, passando pelas escolas e pelo conhecimento. Dela depende a própria saúde das pessoas, tomadas individualmente. Inseguras, desconfiadas, as pessoas procuram com urgência estados mentais e</w:t>
      </w:r>
      <w:r>
        <w:t xml:space="preserve">m que se sintam confiantes. Procuram serviços de saúde </w:t>
      </w:r>
      <w:proofErr w:type="gramStart"/>
      <w:r>
        <w:t>para</w:t>
      </w:r>
      <w:proofErr w:type="gramEnd"/>
      <w:r>
        <w:t xml:space="preserve"> </w:t>
      </w:r>
      <w:proofErr w:type="gramStart"/>
      <w:r>
        <w:t>os</w:t>
      </w:r>
      <w:proofErr w:type="gramEnd"/>
      <w:r>
        <w:t xml:space="preserve"> confortar ou mudam de vida e de ambiente natural e/ou social, por exemplo, para comunidades que militantemente não acreditam nas curas </w:t>
      </w:r>
      <w:proofErr w:type="spellStart"/>
      <w:r>
        <w:t>medicalizadas</w:t>
      </w:r>
      <w:proofErr w:type="spellEnd"/>
      <w:r>
        <w:t xml:space="preserve"> e preferem acreditar na natureza. A menos qu</w:t>
      </w:r>
      <w:r>
        <w:t xml:space="preserve">e se tenham habituado a viver em desconfiança, incapazes de se respeitarem a si e aos outros. </w:t>
      </w:r>
    </w:p>
    <w:p w:rsidR="00B07993" w:rsidRDefault="003A16FD">
      <w:r>
        <w:t>Para um número importante de seres humanos, os bens fundamentais, materiais e espirituais, são tidos como garantidos para toda a vida. Incluindo a protecção cont</w:t>
      </w:r>
      <w:r>
        <w:t>ra as violências da natureza. Protecção violenta contra os amigos da natureza. Pessoas incapazes de controlar os seus instintos ou pessoas com vontade de tomar o lugar das elites ou militantes contra a agressividade própria das organizações.</w:t>
      </w:r>
    </w:p>
    <w:p w:rsidR="00B07993" w:rsidRDefault="003A16FD">
      <w:r>
        <w:t>A um número mu</w:t>
      </w:r>
      <w:r>
        <w:t>ito importante, porém, faltam bens básicos, como alimentos e/ou abrigo estável e/ou água. Uma só pessoa a viver em condições de indignidade seria um problema urgente. Porém, nas condições de organização actuais, uma só pessoa que se possa resgatar dessa si</w:t>
      </w:r>
      <w:r>
        <w:t xml:space="preserve">tuação de miséria é um raro acontecimento celebrado pelos serviços sociais. </w:t>
      </w:r>
    </w:p>
    <w:p w:rsidR="00B07993" w:rsidRDefault="003A16FD">
      <w:r>
        <w:t>Mais difícil de medir é o número de pessoas que vivem aparentemente com acesso aos bens fundamentais para uma vida digna, mas que, de facto, por vergonha, usam os recursos que têm</w:t>
      </w:r>
      <w:r>
        <w:t xml:space="preserve"> para simular viver como o primeiro grupo. Temendo, realisticamente, ser abandonadas na mó de baixo.</w:t>
      </w:r>
    </w:p>
    <w:p w:rsidR="00B07993" w:rsidRDefault="003A16FD">
      <w:r>
        <w:t>Esta divisão de estilos de confiança social aparece retratada de várias maneiras por vários autores. Robert Reich (1991) fala, para descrever as divisões s</w:t>
      </w:r>
      <w:r>
        <w:t xml:space="preserve">ociais na era </w:t>
      </w:r>
      <w:proofErr w:type="spellStart"/>
      <w:r>
        <w:t>neo-liberal</w:t>
      </w:r>
      <w:proofErr w:type="spellEnd"/>
      <w:r>
        <w:t xml:space="preserve">, em analistas simbólicos, trabalhadores da globalização que vivem entre metrópoles a conhecer e a servir as organizações com os seus raros conhecimentos; os trabalhadores de rotina, agarrados às </w:t>
      </w:r>
      <w:proofErr w:type="gramStart"/>
      <w:r>
        <w:t>industrias</w:t>
      </w:r>
      <w:proofErr w:type="gramEnd"/>
      <w:r>
        <w:t xml:space="preserve"> e aos seus espaços-tempo</w:t>
      </w:r>
      <w:r>
        <w:t xml:space="preserve">s próprios; os trabalhadores de serviços, que cumprem as tarefas de cuidados indispensáveis à existência dos analistas simbólicos, como manter uma </w:t>
      </w:r>
      <w:r>
        <w:lastRenderedPageBreak/>
        <w:t>família ou simplesmente uma habitação própria. O autor pressupõe a existência de pessoas fora do mundo do tra</w:t>
      </w:r>
      <w:r>
        <w:t>balho ou nos seus limiares (</w:t>
      </w:r>
      <w:proofErr w:type="spellStart"/>
      <w:r>
        <w:t>Jonna</w:t>
      </w:r>
      <w:proofErr w:type="spellEnd"/>
      <w:r>
        <w:t xml:space="preserve"> &amp; </w:t>
      </w:r>
      <w:proofErr w:type="spellStart"/>
      <w:r>
        <w:t>Foster</w:t>
      </w:r>
      <w:proofErr w:type="spellEnd"/>
      <w:r>
        <w:t xml:space="preserve"> 2016). </w:t>
      </w:r>
      <w:proofErr w:type="spellStart"/>
      <w:r>
        <w:t>Günther</w:t>
      </w:r>
      <w:proofErr w:type="spellEnd"/>
      <w:r>
        <w:t xml:space="preserve"> </w:t>
      </w:r>
      <w:proofErr w:type="spellStart"/>
      <w:r>
        <w:t>Jakobs</w:t>
      </w:r>
      <w:proofErr w:type="spellEnd"/>
      <w:r>
        <w:t xml:space="preserve"> (2003), no campo do direito criminal, identifica o grupo dos inimputáveis, os agentes do sector económico global, o grupo dos imputáveis, as pessoas comuns, e o grupo daqueles a quem o direit</w:t>
      </w:r>
      <w:r>
        <w:t>o não se aplica, sobretudo os trabalhadores estrangeiros (</w:t>
      </w:r>
      <w:proofErr w:type="spellStart"/>
      <w:r>
        <w:t>Palidda</w:t>
      </w:r>
      <w:proofErr w:type="spellEnd"/>
      <w:r>
        <w:t xml:space="preserve"> &amp; Garcia 2010).</w:t>
      </w:r>
    </w:p>
    <w:p w:rsidR="00B07993" w:rsidRDefault="003A16FD">
      <w:r>
        <w:t>As diferentes experiências sociais desenvolvem nas pessoas diferentes disposições, leques singulares ou múltiplos de capacidade de mobilização de disposições adaptadas a dife</w:t>
      </w:r>
      <w:r>
        <w:t xml:space="preserve">rentes meios sociais e ocasiões, e diferentes capacidades de recriação de disposições proactivas. </w:t>
      </w:r>
    </w:p>
    <w:p w:rsidR="00B07993" w:rsidRDefault="003A16FD">
      <w:r>
        <w:t>É claro que as práticas educativas, culturais e organizativas são, neste aspecto, muito importantes, para além do caracter de cada um. Porém, são bem conheci</w:t>
      </w:r>
      <w:r>
        <w:t xml:space="preserve">dos os efeitos discriminatórios produzidos pelas escolas, pelo mundo do trabalho, pelo trabalho social e pelos conhecimentos. Mesmo que, por facilidade ou para não beliscar a confiança, se retenha sobretudo os aspectos construtivos das práticas referidas. </w:t>
      </w:r>
      <w:r>
        <w:t>Como se as organizações não tivessem efeitos perversos e inesperados conhecidos e recorrentes e como se não houvesse gente a braços com limitações das condições existências indignas para os grupos sociais protegidos. Como se, independentemente da experiênc</w:t>
      </w:r>
      <w:r>
        <w:t>ia de vida, as disposições adquiridas dependessem apenas das pessoas e não fossem socialmente induzidas também. Com uma violência capaz de, na maior parte dos casos, impor regimes persistentes de incorporação de disposições defensivas e desconfiadas das or</w:t>
      </w:r>
      <w:r>
        <w:t>ganizações e das pessoas, eventualmente impossíveis de reverter durante toda a vida.</w:t>
      </w:r>
    </w:p>
    <w:p w:rsidR="00B07993" w:rsidRDefault="003A16FD">
      <w:r>
        <w:t>Há muitos tipos e modos de violência. As suas causas próximas podem iludir as suas causas distantes. Nomeadamente, a descrição e análise da configuração de um ser humano c</w:t>
      </w:r>
      <w:r>
        <w:t>oncreto pode iludir o processo social que restringiu a flexibilidade e o controlo dos seus comportamentos e, sobretudo, que fez o mesmo a muitos outros seres humanos fora do escopo de apreciação, naquele momento. A análise social deve ser capaz de encontra</w:t>
      </w:r>
      <w:r>
        <w:t>r, em cada caso de violência, as causas sociais distantes que reproduzem seres humanos susceptíveis de se deixarem envolver em situações de violência, para que seja possível evitar, para além das situações, a produção de indivíduos com tais características</w:t>
      </w:r>
      <w:r>
        <w:t xml:space="preserve"> e, ainda, abolir processos de socialização indutores de riscos de violência incorporados nas pessoas. </w:t>
      </w:r>
    </w:p>
    <w:p w:rsidR="00B07993" w:rsidRDefault="003A16FD">
      <w:r>
        <w:t xml:space="preserve"> António Pedro Dores</w:t>
      </w:r>
    </w:p>
    <w:p w:rsidR="003A16FD" w:rsidRDefault="003A16FD">
      <w:r>
        <w:t>14-06-17</w:t>
      </w:r>
      <w:bookmarkStart w:id="0" w:name="_GoBack"/>
      <w:bookmarkEnd w:id="0"/>
    </w:p>
    <w:sectPr w:rsidR="003A16FD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16FD">
      <w:pPr>
        <w:spacing w:after="0" w:line="240" w:lineRule="auto"/>
      </w:pPr>
      <w:r>
        <w:separator/>
      </w:r>
    </w:p>
  </w:endnote>
  <w:endnote w:type="continuationSeparator" w:id="0">
    <w:p w:rsidR="00000000" w:rsidRDefault="003A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16F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3A1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7993"/>
    <w:rsid w:val="003A16FD"/>
    <w:rsid w:val="007C5A17"/>
    <w:rsid w:val="00B0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969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pedro dores</dc:creator>
  <cp:lastModifiedBy>Antonio Dores</cp:lastModifiedBy>
  <cp:revision>3</cp:revision>
  <dcterms:created xsi:type="dcterms:W3CDTF">2017-06-14T08:59:00Z</dcterms:created>
  <dcterms:modified xsi:type="dcterms:W3CDTF">2017-06-14T09:00:00Z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6a86be35-736d-3b6b-bca5-b0a474a8a1c6</vt:lpwstr>
  </property>
  <property fmtid="{D5CDD505-2E9C-101B-9397-08002B2CF9AE}" pid="4" name="Mendeley Citation Style_1">
    <vt:lpwstr>http://www.zotero.org/styles/harvard1</vt:lpwstr>
  </property>
</Properties>
</file>