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0D" w:rsidRPr="0054230D" w:rsidRDefault="0054230D" w:rsidP="0054230D">
      <w:pPr>
        <w:rPr>
          <w:rFonts w:ascii="Calibri" w:eastAsia="Calibri" w:hAnsi="Calibri" w:cs="Times New Roman"/>
          <w:b/>
        </w:rPr>
      </w:pPr>
      <w:r w:rsidRPr="0054230D">
        <w:rPr>
          <w:rFonts w:ascii="Calibri" w:eastAsia="Calibri" w:hAnsi="Calibri" w:cs="Times New Roman"/>
          <w:b/>
        </w:rPr>
        <w:t>Sociedade muda constantemente</w:t>
      </w:r>
    </w:p>
    <w:p w:rsidR="0054230D" w:rsidRPr="0054230D" w:rsidRDefault="0054230D" w:rsidP="0054230D">
      <w:pPr>
        <w:rPr>
          <w:rFonts w:ascii="Calibri" w:eastAsia="Calibri" w:hAnsi="Calibri" w:cs="Times New Roman"/>
        </w:rPr>
      </w:pPr>
      <w:r w:rsidRPr="0054230D">
        <w:rPr>
          <w:rFonts w:ascii="Calibri" w:eastAsia="Calibri" w:hAnsi="Calibri" w:cs="Times New Roman"/>
        </w:rPr>
        <w:t xml:space="preserve">Sociedade muda constantemente, na medida em que a vida das pessoas evoluí e cada uma revela, face às diferentes situações encontra, novas facetas que alimentou em segredo ou que emergem de surpresa, incluindo para a própria pessoa. Quem está de fora, frequentemente, compreende o sentido da </w:t>
      </w:r>
      <w:proofErr w:type="spellStart"/>
      <w:r w:rsidRPr="0054230D">
        <w:rPr>
          <w:rFonts w:ascii="Calibri" w:eastAsia="Calibri" w:hAnsi="Calibri" w:cs="Times New Roman"/>
        </w:rPr>
        <w:t>acção</w:t>
      </w:r>
      <w:proofErr w:type="spellEnd"/>
      <w:r w:rsidRPr="0054230D">
        <w:rPr>
          <w:rFonts w:ascii="Calibri" w:eastAsia="Calibri" w:hAnsi="Calibri" w:cs="Times New Roman"/>
        </w:rPr>
        <w:t xml:space="preserve"> de quem é observado sem que este, mesmo quando conhece o sentido da interpretação alheia da </w:t>
      </w:r>
      <w:proofErr w:type="spellStart"/>
      <w:r w:rsidRPr="0054230D">
        <w:rPr>
          <w:rFonts w:ascii="Calibri" w:eastAsia="Calibri" w:hAnsi="Calibri" w:cs="Times New Roman"/>
        </w:rPr>
        <w:t>acção</w:t>
      </w:r>
      <w:proofErr w:type="spellEnd"/>
      <w:r w:rsidRPr="0054230D">
        <w:rPr>
          <w:rFonts w:ascii="Calibri" w:eastAsia="Calibri" w:hAnsi="Calibri" w:cs="Times New Roman"/>
        </w:rPr>
        <w:t>, sabe que quem está de fora imagina que sabe o que verdadeiramente não sabe.</w:t>
      </w:r>
    </w:p>
    <w:p w:rsidR="0054230D" w:rsidRPr="0054230D" w:rsidRDefault="0054230D" w:rsidP="0054230D">
      <w:pPr>
        <w:rPr>
          <w:rFonts w:ascii="Calibri" w:eastAsia="Calibri" w:hAnsi="Calibri" w:cs="Times New Roman"/>
        </w:rPr>
      </w:pPr>
      <w:r w:rsidRPr="0054230D">
        <w:rPr>
          <w:rFonts w:ascii="Calibri" w:eastAsia="Calibri" w:hAnsi="Calibri" w:cs="Times New Roman"/>
        </w:rPr>
        <w:t xml:space="preserve">Por exemplo, quando um estudante ocorre nervoso a um exame, se ele tem passado os exames anteriores, os seus amigos e familiares sabem que tudo vai correr bem. Mesmo que não corra, </w:t>
      </w:r>
      <w:proofErr w:type="spellStart"/>
      <w:r w:rsidRPr="0054230D">
        <w:rPr>
          <w:rFonts w:ascii="Calibri" w:eastAsia="Calibri" w:hAnsi="Calibri" w:cs="Times New Roman"/>
        </w:rPr>
        <w:t>há-de</w:t>
      </w:r>
      <w:proofErr w:type="spellEnd"/>
      <w:r w:rsidRPr="0054230D">
        <w:rPr>
          <w:rFonts w:ascii="Calibri" w:eastAsia="Calibri" w:hAnsi="Calibri" w:cs="Times New Roman"/>
        </w:rPr>
        <w:t xml:space="preserve"> haver outras oportunidades (se o ambiente for confiante nas potencialidades do estudante). Se correr bem, para todos – menos para o estudante – tudo correu como normal. O normal dos outros é o esforço de </w:t>
      </w:r>
      <w:proofErr w:type="spellStart"/>
      <w:r w:rsidRPr="0054230D">
        <w:rPr>
          <w:rFonts w:ascii="Calibri" w:eastAsia="Calibri" w:hAnsi="Calibri" w:cs="Times New Roman"/>
        </w:rPr>
        <w:t>auto-transformação</w:t>
      </w:r>
      <w:proofErr w:type="spellEnd"/>
      <w:r w:rsidRPr="0054230D">
        <w:rPr>
          <w:rFonts w:ascii="Calibri" w:eastAsia="Calibri" w:hAnsi="Calibri" w:cs="Times New Roman"/>
        </w:rPr>
        <w:t xml:space="preserve"> do estudante, que passo a passo sabe mais ou, mais seguramente, ganha direito a um certificado escolar, com impacto social alimentado pelo sistema de credibilização da meritocracia: o estudante e os seus amigos e familiares ficam convencidos da sua evolução (não faz sentido negar aquilo que é oferecido). Caso o estudante venha a decidir interromper o percurso de estudos ou não usar os certificados escolares para se integrar no mercado de trabalho ou até caso o mercado de trabalho previsível para quem fez aqueles estudos rejeite a sua integração, a culpa será sempre do estudante, por não se ter esforçado o suficiente para se conformar com a sociedade existente. </w:t>
      </w:r>
    </w:p>
    <w:p w:rsidR="0054230D" w:rsidRPr="0054230D" w:rsidRDefault="0054230D" w:rsidP="0054230D">
      <w:pPr>
        <w:rPr>
          <w:rFonts w:ascii="Calibri" w:eastAsia="Calibri" w:hAnsi="Calibri" w:cs="Times New Roman"/>
        </w:rPr>
      </w:pPr>
      <w:r w:rsidRPr="0054230D">
        <w:rPr>
          <w:rFonts w:ascii="Calibri" w:eastAsia="Calibri" w:hAnsi="Calibri" w:cs="Times New Roman"/>
        </w:rPr>
        <w:t xml:space="preserve">As teorias sociais separam de forma a tornar incompatível entre si as estruturas (aquilo que está planeado e serve de guião para a </w:t>
      </w:r>
      <w:proofErr w:type="spellStart"/>
      <w:r w:rsidRPr="0054230D">
        <w:rPr>
          <w:rFonts w:ascii="Calibri" w:eastAsia="Calibri" w:hAnsi="Calibri" w:cs="Times New Roman"/>
        </w:rPr>
        <w:t>acção</w:t>
      </w:r>
      <w:proofErr w:type="spellEnd"/>
      <w:r w:rsidRPr="0054230D">
        <w:rPr>
          <w:rFonts w:ascii="Calibri" w:eastAsia="Calibri" w:hAnsi="Calibri" w:cs="Times New Roman"/>
        </w:rPr>
        <w:t xml:space="preserve"> organizada, em particular a legislação) e as pessoas, concebidas como indivíduos produzidos pelos estados, através dos sistemas sociais, como as maternidades, as creches, as escolas, todos livres e iguais. Tal como acontece no caso do nosso estudante, quem não for igual aos outros que arranjaram emprego na sua área de especialização vai para um lugar irrelevante das estatísticas (as </w:t>
      </w:r>
      <w:proofErr w:type="spellStart"/>
      <w:r w:rsidRPr="0054230D">
        <w:rPr>
          <w:rFonts w:ascii="Calibri" w:eastAsia="Calibri" w:hAnsi="Calibri" w:cs="Times New Roman"/>
        </w:rPr>
        <w:t>excepções</w:t>
      </w:r>
      <w:proofErr w:type="spellEnd"/>
      <w:r w:rsidRPr="0054230D">
        <w:rPr>
          <w:rFonts w:ascii="Calibri" w:eastAsia="Calibri" w:hAnsi="Calibri" w:cs="Times New Roman"/>
        </w:rPr>
        <w:t xml:space="preserve"> à regra). Confirmando-se assim cientificamente a culpa dos excluídos de estarem na situação de exclusão, apenas por </w:t>
      </w:r>
      <w:proofErr w:type="spellStart"/>
      <w:r w:rsidRPr="0054230D">
        <w:rPr>
          <w:rFonts w:ascii="Calibri" w:eastAsia="Calibri" w:hAnsi="Calibri" w:cs="Times New Roman"/>
        </w:rPr>
        <w:t>auto-determinação</w:t>
      </w:r>
      <w:proofErr w:type="spellEnd"/>
      <w:r w:rsidRPr="0054230D">
        <w:rPr>
          <w:rFonts w:ascii="Calibri" w:eastAsia="Calibri" w:hAnsi="Calibri" w:cs="Times New Roman"/>
        </w:rPr>
        <w:t xml:space="preserve"> da sua própria capacidade de </w:t>
      </w:r>
      <w:proofErr w:type="spellStart"/>
      <w:r w:rsidRPr="0054230D">
        <w:rPr>
          <w:rFonts w:ascii="Calibri" w:eastAsia="Calibri" w:hAnsi="Calibri" w:cs="Times New Roman"/>
        </w:rPr>
        <w:t>acção</w:t>
      </w:r>
      <w:proofErr w:type="spellEnd"/>
      <w:r w:rsidRPr="0054230D">
        <w:rPr>
          <w:rFonts w:ascii="Calibri" w:eastAsia="Calibri" w:hAnsi="Calibri" w:cs="Times New Roman"/>
        </w:rPr>
        <w:t xml:space="preserve">. </w:t>
      </w:r>
    </w:p>
    <w:p w:rsidR="0054230D" w:rsidRPr="0054230D" w:rsidRDefault="0054230D" w:rsidP="0054230D">
      <w:pPr>
        <w:rPr>
          <w:rFonts w:ascii="Calibri" w:eastAsia="Calibri" w:hAnsi="Calibri" w:cs="Times New Roman"/>
        </w:rPr>
      </w:pPr>
      <w:r w:rsidRPr="0054230D">
        <w:rPr>
          <w:rFonts w:ascii="Calibri" w:eastAsia="Calibri" w:hAnsi="Calibri" w:cs="Times New Roman"/>
        </w:rPr>
        <w:t xml:space="preserve">As estruturas estão lá, à disposição de todos (liberdade) e sem discriminações (igualdade). Tudo quanto não seja </w:t>
      </w:r>
      <w:proofErr w:type="spellStart"/>
      <w:r w:rsidRPr="0054230D">
        <w:rPr>
          <w:rFonts w:ascii="Calibri" w:eastAsia="Calibri" w:hAnsi="Calibri" w:cs="Times New Roman"/>
        </w:rPr>
        <w:t>exactamente</w:t>
      </w:r>
      <w:proofErr w:type="spellEnd"/>
      <w:r w:rsidRPr="0054230D">
        <w:rPr>
          <w:rFonts w:ascii="Calibri" w:eastAsia="Calibri" w:hAnsi="Calibri" w:cs="Times New Roman"/>
        </w:rPr>
        <w:t xml:space="preserve"> assim pode e deve ser denunciado, para </w:t>
      </w:r>
      <w:proofErr w:type="spellStart"/>
      <w:r w:rsidRPr="0054230D">
        <w:rPr>
          <w:rFonts w:ascii="Calibri" w:eastAsia="Calibri" w:hAnsi="Calibri" w:cs="Times New Roman"/>
        </w:rPr>
        <w:t>correcção</w:t>
      </w:r>
      <w:proofErr w:type="spellEnd"/>
      <w:r w:rsidRPr="0054230D">
        <w:rPr>
          <w:rFonts w:ascii="Calibri" w:eastAsia="Calibri" w:hAnsi="Calibri" w:cs="Times New Roman"/>
        </w:rPr>
        <w:t xml:space="preserve"> (e há sempre muita coisa a corrigir). Mas tudo se trata de erros humanos: embora as estruturas estejam lá com propósitos certos (pelo menos quase sempre) e de boa vontade (sempre), as pessoas que usam as organizações que no quotidiano põe em prática as determinações superiores erram imenso. Não é só o estudante que após vários anos de carreira escolar se pode arrepender e mudar de vida. Isso acontece também com os trabalhadores e até, pasme-se, com dirigentes. A instabilidade </w:t>
      </w:r>
      <w:proofErr w:type="spellStart"/>
      <w:r w:rsidRPr="0054230D">
        <w:rPr>
          <w:rFonts w:ascii="Calibri" w:eastAsia="Calibri" w:hAnsi="Calibri" w:cs="Times New Roman"/>
        </w:rPr>
        <w:t>afecta</w:t>
      </w:r>
      <w:proofErr w:type="spellEnd"/>
      <w:r w:rsidRPr="0054230D">
        <w:rPr>
          <w:rFonts w:ascii="Calibri" w:eastAsia="Calibri" w:hAnsi="Calibri" w:cs="Times New Roman"/>
        </w:rPr>
        <w:t xml:space="preserve"> potencialmente todos. Aliás, há um dito popular sobre a mítica infelicidade dos ricos (e também dos pensadores) a que os pobres e os ignaros estão, por natureza, poupados: não tem zangas de família a respeito de heranças nem sofrem mentalmente sobre os desafios existenciais a que a humanidade está sujeita. </w:t>
      </w:r>
    </w:p>
    <w:p w:rsidR="0054230D" w:rsidRPr="0054230D" w:rsidRDefault="0054230D" w:rsidP="0054230D">
      <w:pPr>
        <w:rPr>
          <w:rFonts w:ascii="Calibri" w:eastAsia="Calibri" w:hAnsi="Calibri" w:cs="Times New Roman"/>
        </w:rPr>
      </w:pPr>
      <w:r w:rsidRPr="0054230D">
        <w:rPr>
          <w:rFonts w:ascii="Calibri" w:eastAsia="Calibri" w:hAnsi="Calibri" w:cs="Times New Roman"/>
        </w:rPr>
        <w:t xml:space="preserve">Os sistemas, quais tipos ideais, estão à disposição das pessoas, para as constituir em cidadãos virtuosos e para lhes oferecer a segurança ontológica, mesmo quando os indivíduos são mal-agradecidos ou desdenhosos. A vida quotidiana é muito diferente destes tipos ideais. Portanto, a teoria social limita-se a fazer estudos separados de </w:t>
      </w:r>
      <w:proofErr w:type="gramStart"/>
      <w:r w:rsidRPr="0054230D">
        <w:rPr>
          <w:rFonts w:ascii="Calibri" w:eastAsia="Calibri" w:hAnsi="Calibri" w:cs="Times New Roman"/>
        </w:rPr>
        <w:t>macro sociologia</w:t>
      </w:r>
      <w:proofErr w:type="gramEnd"/>
      <w:r w:rsidRPr="0054230D">
        <w:rPr>
          <w:rFonts w:ascii="Calibri" w:eastAsia="Calibri" w:hAnsi="Calibri" w:cs="Times New Roman"/>
        </w:rPr>
        <w:t xml:space="preserve"> (política, económica, cultural) sobre a dominação e a subordinação, e estudos separados de micro sociologia (das organizações, das famílias, da pobreza, da opressão na </w:t>
      </w:r>
      <w:proofErr w:type="spellStart"/>
      <w:r w:rsidRPr="0054230D">
        <w:rPr>
          <w:rFonts w:ascii="Calibri" w:eastAsia="Calibri" w:hAnsi="Calibri" w:cs="Times New Roman"/>
        </w:rPr>
        <w:t>interacção</w:t>
      </w:r>
      <w:proofErr w:type="spellEnd"/>
      <w:r w:rsidRPr="0054230D">
        <w:rPr>
          <w:rFonts w:ascii="Calibri" w:eastAsia="Calibri" w:hAnsi="Calibri" w:cs="Times New Roman"/>
        </w:rPr>
        <w:t xml:space="preserve"> – repressão, controlo, entre polícias e ladrões). </w:t>
      </w:r>
    </w:p>
    <w:p w:rsidR="0054230D" w:rsidRPr="0054230D" w:rsidRDefault="0054230D" w:rsidP="0054230D">
      <w:pPr>
        <w:rPr>
          <w:rFonts w:ascii="Calibri" w:eastAsia="Calibri" w:hAnsi="Calibri" w:cs="Times New Roman"/>
        </w:rPr>
      </w:pPr>
      <w:r w:rsidRPr="0054230D">
        <w:rPr>
          <w:rFonts w:ascii="Calibri" w:eastAsia="Calibri" w:hAnsi="Calibri" w:cs="Times New Roman"/>
        </w:rPr>
        <w:lastRenderedPageBreak/>
        <w:t xml:space="preserve">Estas críticas não são novas. Há quem tenha entendido, sobretudo em torno do marxismo, que a separação entre a superestrutura e infraestrutura é viciosa. Marx inverte a lógica, para dizer que o poder não vem da superestrutura: vem da infraestrutura. É o quotidiano que determina os tipos ideais (as ideologias e instituições dominantes). Muitos dos seus seguidores preferiram dizer que há uma diferença entre os </w:t>
      </w:r>
      <w:proofErr w:type="spellStart"/>
      <w:r w:rsidRPr="0054230D">
        <w:rPr>
          <w:rFonts w:ascii="Calibri" w:eastAsia="Calibri" w:hAnsi="Calibri" w:cs="Times New Roman"/>
        </w:rPr>
        <w:t>aspectos</w:t>
      </w:r>
      <w:proofErr w:type="spellEnd"/>
      <w:r w:rsidRPr="0054230D">
        <w:rPr>
          <w:rFonts w:ascii="Calibri" w:eastAsia="Calibri" w:hAnsi="Calibri" w:cs="Times New Roman"/>
        </w:rPr>
        <w:t xml:space="preserve"> </w:t>
      </w:r>
      <w:proofErr w:type="spellStart"/>
      <w:r w:rsidRPr="0054230D">
        <w:rPr>
          <w:rFonts w:ascii="Calibri" w:eastAsia="Calibri" w:hAnsi="Calibri" w:cs="Times New Roman"/>
        </w:rPr>
        <w:t>objectivos</w:t>
      </w:r>
      <w:proofErr w:type="spellEnd"/>
      <w:r w:rsidRPr="0054230D">
        <w:rPr>
          <w:rFonts w:ascii="Calibri" w:eastAsia="Calibri" w:hAnsi="Calibri" w:cs="Times New Roman"/>
        </w:rPr>
        <w:t xml:space="preserve"> – fixos, materiais, observáveis, públicos – da existência das sociedades e os </w:t>
      </w:r>
      <w:proofErr w:type="spellStart"/>
      <w:r w:rsidRPr="0054230D">
        <w:rPr>
          <w:rFonts w:ascii="Calibri" w:eastAsia="Calibri" w:hAnsi="Calibri" w:cs="Times New Roman"/>
        </w:rPr>
        <w:t>aspectos</w:t>
      </w:r>
      <w:proofErr w:type="spellEnd"/>
      <w:r w:rsidRPr="0054230D">
        <w:rPr>
          <w:rFonts w:ascii="Calibri" w:eastAsia="Calibri" w:hAnsi="Calibri" w:cs="Times New Roman"/>
        </w:rPr>
        <w:t xml:space="preserve"> </w:t>
      </w:r>
      <w:proofErr w:type="spellStart"/>
      <w:r w:rsidRPr="0054230D">
        <w:rPr>
          <w:rFonts w:ascii="Calibri" w:eastAsia="Calibri" w:hAnsi="Calibri" w:cs="Times New Roman"/>
        </w:rPr>
        <w:t>subjectivos</w:t>
      </w:r>
      <w:proofErr w:type="spellEnd"/>
      <w:r w:rsidRPr="0054230D">
        <w:rPr>
          <w:rFonts w:ascii="Calibri" w:eastAsia="Calibri" w:hAnsi="Calibri" w:cs="Times New Roman"/>
        </w:rPr>
        <w:t xml:space="preserve"> – instáveis, imateriais, não observáveis, íntimos – que se misturam de formas misteriosas (segundo Habermas, por exemplo, misturam-se no espaço público).</w:t>
      </w:r>
    </w:p>
    <w:p w:rsidR="0054230D" w:rsidRPr="0054230D" w:rsidRDefault="0054230D" w:rsidP="0054230D">
      <w:pPr>
        <w:rPr>
          <w:rFonts w:ascii="Calibri" w:eastAsia="Calibri" w:hAnsi="Calibri" w:cs="Times New Roman"/>
        </w:rPr>
      </w:pPr>
      <w:r w:rsidRPr="0054230D">
        <w:rPr>
          <w:rFonts w:ascii="Calibri" w:eastAsia="Calibri" w:hAnsi="Calibri" w:cs="Times New Roman"/>
        </w:rPr>
        <w:t>No fundamental, portanto, a questão mantém-se: como religar de forma cientificamente aceitável diferentes níveis de experiência das pessoas, sabendo que eles se misturam e são mais do que dois níveis apenas (criou-se no meio o nível meso social para indicar precisamente isso: os níveis macro relacionam aquilo que está acima do social (Deus? As instituições? A filosofia? A civilização? O Império? A matéria? O cosmos?) com as sociedades; os níveis micro relacionam a vida prática quotidiana, instável, com os corpos, emoções, ritmos, desejos, relações com a natureza e as tecnologias; os níveis meso relacionam os corpos humanos com os níveis sociais macro, em particular nas organizações ou nas cidades ou nas casas de cada um).</w:t>
      </w:r>
    </w:p>
    <w:p w:rsidR="0054230D" w:rsidRPr="0054230D" w:rsidRDefault="0054230D" w:rsidP="0054230D">
      <w:pPr>
        <w:rPr>
          <w:rFonts w:ascii="Calibri" w:eastAsia="Calibri" w:hAnsi="Calibri" w:cs="Times New Roman"/>
        </w:rPr>
      </w:pPr>
      <w:r w:rsidRPr="0054230D">
        <w:rPr>
          <w:rFonts w:ascii="Calibri" w:eastAsia="Calibri" w:hAnsi="Calibri" w:cs="Times New Roman"/>
        </w:rPr>
        <w:t xml:space="preserve">A preocupação das teorias sociais em oferecer aos seus leitores (a partir das primeiras décadas do século XX) confiança no progresso, interrompido pela crise financeira de 1929 e, depois, pela crise do petróleo de 1973, datas que sinalizam a emergência da institucionalização do comunismo e a revolução social que originou a </w:t>
      </w:r>
      <w:proofErr w:type="spellStart"/>
      <w:r w:rsidRPr="0054230D">
        <w:rPr>
          <w:rFonts w:ascii="Calibri" w:eastAsia="Calibri" w:hAnsi="Calibri" w:cs="Times New Roman"/>
        </w:rPr>
        <w:t>contra-revolução</w:t>
      </w:r>
      <w:proofErr w:type="spellEnd"/>
      <w:r w:rsidRPr="0054230D">
        <w:rPr>
          <w:rFonts w:ascii="Calibri" w:eastAsia="Calibri" w:hAnsi="Calibri" w:cs="Times New Roman"/>
        </w:rPr>
        <w:t xml:space="preserve"> neoliberal, impede-a a ela e aos seus leitores de reconhecer a instabilidade existencial. Impede a continuidade do caminho já percorrido entre a filosofia social e a ciência, estacionado no que se chama ciências sociais.  </w:t>
      </w:r>
    </w:p>
    <w:p w:rsidR="0054230D" w:rsidRPr="0054230D" w:rsidRDefault="0054230D" w:rsidP="0025599E">
      <w:pPr>
        <w:rPr>
          <w:b/>
        </w:rPr>
      </w:pPr>
      <w:r w:rsidRPr="0054230D">
        <w:rPr>
          <w:b/>
        </w:rPr>
        <w:t xml:space="preserve">Do </w:t>
      </w:r>
      <w:proofErr w:type="spellStart"/>
      <w:r w:rsidRPr="0054230D">
        <w:rPr>
          <w:b/>
        </w:rPr>
        <w:t>auto-isolamento</w:t>
      </w:r>
      <w:proofErr w:type="spellEnd"/>
      <w:r w:rsidRPr="0054230D">
        <w:rPr>
          <w:b/>
        </w:rPr>
        <w:t xml:space="preserve"> das teorias sociais</w:t>
      </w:r>
    </w:p>
    <w:p w:rsidR="000817DC" w:rsidRDefault="000817DC" w:rsidP="0025599E">
      <w:r>
        <w:t xml:space="preserve">A instabilidade é a referência a experiências diferentes das habituais. Sendo que há gente que vive habitualmente – toda a vida ou ao menos durante um período de tempo – situações de instabilidade. Eventualmente situações institucionalmente construídas, como as experiências científicas, as prisões, a insegurança legislativa e de poder, ou emocionalmente determinadas, como o amor e desamor, a revolução e a </w:t>
      </w:r>
      <w:proofErr w:type="spellStart"/>
      <w:r>
        <w:t>contra-revolução</w:t>
      </w:r>
      <w:proofErr w:type="spellEnd"/>
      <w:r>
        <w:t>, a solidariedade e a vingança, em contextos de medo (sentimento de as relações comunitárias estarem risco) ou de vergonha (sentimento de as relações sociais estarem risco).</w:t>
      </w:r>
    </w:p>
    <w:p w:rsidR="00F27D89" w:rsidRDefault="000817DC" w:rsidP="0025599E">
      <w:r>
        <w:t>A falta de solidariedade social ou coesão social ou diferença de classes é marcada por diferentes tipos de experiência relativa à estabilidade. Há quem faça da instabilidade (dos outros) um modo de vida seguro (para si), a menos de um risco (falência, revolução) – são os empresários. Há que</w:t>
      </w:r>
      <w:r w:rsidR="00F27D89">
        <w:t>m</w:t>
      </w:r>
      <w:r>
        <w:t xml:space="preserve"> faça da </w:t>
      </w:r>
      <w:r w:rsidR="00F27D89">
        <w:t>vida uma rotina de submissão a lutas sociais em que se limita a ser fiel ao lado que melhor lhe paga ou que mais garantias dá de sobrevivência – são os trabalhadores de rotina, por um lado, e os prestadores de serviços pessoais, por outro lado. Há quem esteja na vida sem relações sociais estáveis, como os sem abrigo ou os presos ou os excluídos, cujas comunidades são inimigas da ordem dominante, na medida em que não pagam impostos e interferem com as rotinas de submissão.  Constituem um risco comunitário e social, que os poderes instituídos tratam de modo a elevá-los e mantê-los a nível comunitário, através do medo, evitando, ao mesmo tempo, a vergonha que a empatia social gera – sentimento sublimado em práticas filantrópicas e assistencialistas.</w:t>
      </w:r>
    </w:p>
    <w:p w:rsidR="000817DC" w:rsidRDefault="008D6D14" w:rsidP="0025599E">
      <w:r>
        <w:t xml:space="preserve">A teoria social </w:t>
      </w:r>
      <w:r w:rsidR="0060091F">
        <w:t xml:space="preserve">omite o estudo da instabilidade, argumentando a impossibilidade de determinar estatisticamente o que se passa no reino da irracionalidade, quando dominam as emoções e os </w:t>
      </w:r>
      <w:r w:rsidR="0060091F">
        <w:lastRenderedPageBreak/>
        <w:t>corpos violentados, ao contrário do que se passa em períodos de estabilidade, afinal os mais comuns no tempo.</w:t>
      </w:r>
    </w:p>
    <w:p w:rsidR="0060091F" w:rsidRDefault="0060091F" w:rsidP="0025599E">
      <w:r>
        <w:t>Deste modo, a teoria social ignora, ao mesmo tempo, as experiências de desastre e fundação sociais (que coocorrem) e as experiências de instabilidade na vida de todos o cada um, com particular destaque para as pessoas que vivem a instabilidade de forma habitual.</w:t>
      </w:r>
    </w:p>
    <w:p w:rsidR="0060091F" w:rsidRDefault="0060091F" w:rsidP="0025599E">
      <w:r>
        <w:t>Por isso, a teoria social dedica tanta atenção aos excluídos e aos pobres, perguntando-se através do método dos tipos-ideais, porque é que essas pessoas não têm vidas iguais às pessoas normais? E, incapaz de considerar a instabilidade (a desesperança, a fome, o isolamento social, o estigma, a repressão</w:t>
      </w:r>
      <w:r w:rsidR="001D7F87">
        <w:t>)</w:t>
      </w:r>
      <w:r>
        <w:t xml:space="preserve">, </w:t>
      </w:r>
      <w:r w:rsidR="001D7F87">
        <w:t xml:space="preserve">produz respostas que alternam entre a) </w:t>
      </w:r>
      <w:r>
        <w:t xml:space="preserve">porque querem viver assim (pelo menos é o que as próprias pessoas dizem quando são entrevistadas e manifestam algum orgulho) ou </w:t>
      </w:r>
      <w:r w:rsidR="001D7F87">
        <w:t xml:space="preserve">2) </w:t>
      </w:r>
      <w:r>
        <w:t xml:space="preserve">porque são irracionais (só tiram prazer do crime ou do desvio, por inveja dos ricos, por não saberem poupar, por gostarem de lutar, por não saberem ler, escrever, contar, falar, etc., por não controlarem os seus impulsos, por serem filhos de famílias desestruturadas – filhos da puta, como se diz em insulto). </w:t>
      </w:r>
      <w:r w:rsidR="001D7F87">
        <w:t xml:space="preserve">Porque vivem numa bolha de subcultura ou porque lhes falta agência, </w:t>
      </w:r>
      <w:proofErr w:type="spellStart"/>
      <w:r w:rsidR="001D7F87">
        <w:t>proactividade</w:t>
      </w:r>
      <w:proofErr w:type="spellEnd"/>
      <w:r w:rsidR="001D7F87">
        <w:t xml:space="preserve">. São excluídos, portanto, porque são antissociais (étnicos, comunitaristas) ou não sabem contribuir para a sociedade, integrando-se nela. Correm o risco de se tornarem bandidos, de quererem fazer o mesmo que os outros – comprar nos mercados sem terem dinheiro (crédito) ou fazer negócios sem aprovação dominante (tipicamente o contrabando – com a globalização, o tráfico de drogas). Tornam-se estigmas em pessoa: formas de contágio da instabilidade, dos riscos, nomeadamente de repressão, mas também de violência cujo sentido escapa às pessoas normais, esforçadas (por recomendação das ciências sociais) a ignorarem o lado negativo das (suas) vidas. Deixando isso para um mundo à parte, que em política se chama casos de polícia. </w:t>
      </w:r>
    </w:p>
    <w:p w:rsidR="00F27D89" w:rsidRDefault="001D7F87" w:rsidP="0025599E">
      <w:r>
        <w:t xml:space="preserve">É essa a razão pela qual as teorias sociais não se dão com as ciências doutrinais, o direito em particular, as ideologias em geral. As teorias sociais têm a sua própria orientação ideológica, a sua própria doutrina, que não se discute – evidentemente – que </w:t>
      </w:r>
      <w:r w:rsidR="003D1776">
        <w:t xml:space="preserve">a) </w:t>
      </w:r>
      <w:r>
        <w:t xml:space="preserve">separa os cidadãos e os indivíduos dos </w:t>
      </w:r>
      <w:proofErr w:type="spellStart"/>
      <w:r>
        <w:t>respectivos</w:t>
      </w:r>
      <w:proofErr w:type="spellEnd"/>
      <w:r>
        <w:t xml:space="preserve"> corpos e das </w:t>
      </w:r>
      <w:proofErr w:type="spellStart"/>
      <w:r>
        <w:t>respectivas</w:t>
      </w:r>
      <w:proofErr w:type="spellEnd"/>
      <w:r>
        <w:t xml:space="preserve"> necessidades básicas – que se presumem asseguradas, sem que isso seja um problema (a n</w:t>
      </w:r>
      <w:r w:rsidR="003D1776">
        <w:t xml:space="preserve">ão ser para o sistema de saúde), b) pois a modernidade social-capitalista-racial-de género-criminal-penal é o melhor que é possível a humanidade esperar poder um dia realizar. </w:t>
      </w:r>
    </w:p>
    <w:p w:rsidR="001D7F87" w:rsidRPr="0054230D" w:rsidRDefault="0054230D" w:rsidP="0025599E">
      <w:pPr>
        <w:rPr>
          <w:b/>
        </w:rPr>
      </w:pPr>
      <w:r w:rsidRPr="0054230D">
        <w:rPr>
          <w:b/>
        </w:rPr>
        <w:t>O que é a sociedade?</w:t>
      </w:r>
    </w:p>
    <w:p w:rsidR="0025599E" w:rsidRDefault="0025599E" w:rsidP="0025599E">
      <w:bookmarkStart w:id="0" w:name="_GoBack"/>
      <w:bookmarkEnd w:id="0"/>
      <w:r>
        <w:t>A sociologia é o estudo da sociedade. Mas que é a sociedade?</w:t>
      </w:r>
    </w:p>
    <w:p w:rsidR="0025599E" w:rsidRDefault="0025599E" w:rsidP="0025599E">
      <w:r>
        <w:t>Um aglomerado populacional sob a soberania de um estado ou um povo soberano que se dota de um estado? Ou sociedade é os modos diversos e singulares de organizar a sua vida, característicos da espécie humana?</w:t>
      </w:r>
    </w:p>
    <w:p w:rsidR="0025599E" w:rsidRDefault="0025599E" w:rsidP="0025599E">
      <w:r>
        <w:t>A sociologia é a apologia da modernidade e da razão ou é o estudo científico da especial natureza humana no que toca ao convívio entre humanos? A sociologia é uma ideologia ocidental ou aspira à universalidade?</w:t>
      </w:r>
    </w:p>
    <w:p w:rsidR="0025599E" w:rsidRDefault="0025599E" w:rsidP="0025599E">
      <w:r>
        <w:t>A misoginia, o elitismo e a dissimulação que caracterizam as actuais sociedades humanas são inelutáveis? Sem tais características, a sociabilidade humana não é possível? No passado? E no futuro?</w:t>
      </w:r>
    </w:p>
    <w:p w:rsidR="0025599E" w:rsidRDefault="0025599E" w:rsidP="0025599E">
      <w:r>
        <w:lastRenderedPageBreak/>
        <w:t xml:space="preserve">Será possível manter o crescimento dos consumos de energia por habitante? Tomar consciências das formas de economia humana e modela-las ao cosmopolitismo? Manter a independência e a liberdade do pensamento conceptual criativo? </w:t>
      </w:r>
    </w:p>
    <w:p w:rsidR="0025599E" w:rsidRDefault="0025599E" w:rsidP="0025599E">
      <w:r>
        <w:t xml:space="preserve">Como será possível aprender a “cuidar de si”, em liberdade, sem amesquinhar o outro? Será possível o </w:t>
      </w:r>
      <w:proofErr w:type="spellStart"/>
      <w:r>
        <w:t>auto-conhecimento</w:t>
      </w:r>
      <w:proofErr w:type="spellEnd"/>
      <w:r>
        <w:t xml:space="preserve"> sobre os segredos sociais – de género e sexo, de elites e liderança, de dissimulação e sabedoria? Ou o mecanismo do bode expiatório – a repugnância contra a vítima e a glória do sacrifício, como sinal divino – impede o desvendar de tais segredos? </w:t>
      </w:r>
    </w:p>
    <w:p w:rsidR="0025599E" w:rsidRDefault="0025599E" w:rsidP="0025599E">
      <w:r>
        <w:t xml:space="preserve">Usar os exemplos da face e dos surdos como casos de estudo sobre o lugar das teorias sociais na resposta a estas perguntas. </w:t>
      </w:r>
    </w:p>
    <w:p w:rsidR="0025599E" w:rsidRDefault="0025599E" w:rsidP="0025599E"/>
    <w:p w:rsidR="0025599E" w:rsidRPr="0054230D" w:rsidRDefault="0025599E" w:rsidP="0025599E">
      <w:r>
        <w:fldChar w:fldCharType="begin" w:fldLock="1"/>
      </w:r>
      <w:r>
        <w:instrText>ADDIN CSL_CITATION { "citationItems" : [ { "id" : "ITEM-1", "itemData" : { "abstract" : "40: n\u00e3o se estuda guerra h\u00e1 50 anos 43: uma explica\u00e7\u00e3o mais completa requer biologia 126:cinscunscri\u00e7\u00e3o/enjaular 127: incluir os derrotados (reinser\u00e7\u00e3o) 183: suborno, guerra preventiva, guerra psicol\u00f3gica para conter cavaleiros das estepes (trabalho social) 214: guerra produtiva funda-se no respeito dos dirigentes pelos povos 427-490 \u201cGosto pelo sangue: Porque entram os chimpaz\u00e9s do Gombe em guerra\u201d", "author" : [ { "dropping-particle" : "", "family" : "Morris", "given" : "Ian", "non-dropping-particle" : "", "parse-names" : false, "suffix" : "" } ], "id" : "ITEM-1", "issued" : { "date-parts" : [ [ "2016" ] ] }, "publisher" : "Bertrand", "publisher-place" : "Lisboa", "title" : "Guerra! Para que serve? \u2013 o Papel do Conflito na Civiliza\u00e7\u00e3o, dos Primatas aos Rob\u00f4s", "type" : "book" }, "uris" : [ "http://www.mendeley.com/documents/?uuid=7b2aef2d-f05c-47a9-96f3-597032b5ec34" ] }, { "id" : "ITEM-2", "itemData" : { "author" : [ { "dropping-particle" : "", "family" : "Morris", "given" : "Ian", "non-dropping-particle" : "", "parse-names" : false, "suffix" : "" } ], "edition" : "1\u00aa ed. 201", "id" : "ITEM-2", "issued" : { "date-parts" : [ [ "2013" ] ] }, "publisher" : "Bertrand", "publisher-place" : "Lisboa", "title" : "O Dom\u00ednio do Ocidente", "type" : "book" }, "uris" : [ "http://www.mendeley.com/documents/?uuid=c90debdb-1bdb-4951-b1f1-41296ed43f2f" ] }, { "id" : "ITEM-3", "itemData" : { "author" : [ { "dropping-particle" : "", "family" : "Collins", "given" : "Randall", "non-dropping-particle" : "", "parse-names" : false, "suffix" : "" } ], "id" : "ITEM-3", "issued" : { "date-parts" : [ [ "2005" ] ] }, "publisher" : "Princeton University Press", "publisher-place" : "Princeton", "title" : "Interaction Rituals Chains", "type" : "book" }, "uris" : [ "http://www.mendeley.com/documents/?uuid=0c487af5-6478-4659-aec9-a9cb2e4edd60" ] }, { "id" : "ITEM-4", "itemData" : { "abstract" : "mafia - 163 tipos de economia 94-113", "author" : [ { "dropping-particle" : "", "family" : "Graeber", "given" : "David", "non-dropping-particle" : "", "parse-names" : false, "suffix" : "" } ], "id" : "ITEM-4", "issued" : { "date-parts" : [ [ "2011" ] ] }, "publisher" : "Melville House Publishing", "publisher-place" : "NY", "title" : "Debt \u2013 the First 5000 Years", "type" : "book" }, "uris" : [ "http://www.mendeley.com/documents/?uuid=98d4daad-a42d-47ae-846e-8b0e92a4beb2" ] }, { "id" : "ITEM-5", "itemData" : { "author" : [ { "dropping-particle" : "", "family" : "Fara", "given" : "Patricia", "non-dropping-particle" : "", "parse-names" : false, "suffix" : "" } ], "id" : "ITEM-5", "issued" : { "date-parts" : [ [ "2009" ] ] }, "publisher" : "Oxford University Press", "publisher-place" : "Oxford", "title" : "Science: a Four Thousand Years History", "type" : "book" }, "uris" : [ "http://www.mendeley.com/documents/?uuid=0436c513-cdb9-46c3-86ca-90f33de1f1a5" ] }, { "id" : "ITEM-6", "itemData" : { "author" : [ { "dropping-particle" : "", "family" : "Girard", "given" : "Ren\u00e9", "non-dropping-particle" : "", "parse-names" : false, "suffix" : "" } ], "id" : "ITEM-6", "issued" : { "date-parts" : [ [ "1978" ] ] }, "publisher" : "\u00c9ditions Grasser et Fasquelle", "publisher-place" : "Paris", "title" : "Des Choses Cach\u00e9es Depuis la Fondation du Monde", "type" : "book" }, "uris" : [ "http://www.mendeley.com/documents/?uuid=0b256d4a-c82f-4796-a97e-3b79bc55e445" ] }, { "id" : "ITEM-7", "itemData" : { "author" : [ { "dropping-particle" : "", "family" : "Girard", "given" : "Ren\u00e9", "non-dropping-particle" : "", "parse-names" : false, "suffix" : "" } ], "id" : "ITEM-7", "issued" : { "date-parts" : [ [ "1985" ] ] }, "publisher" : "Bernard Grasset", "publisher-place" : "Paris", "title" : "La Route Antique des Hommes Pervers", "type" : "book" }, "uris" : [ "http://www.mendeley.com/documents/?uuid=bf8026b5-2e5d-4462-8908-177fca5631fa" ] }, { "id" : "ITEM-8", "itemData" : { "author" : [ { "dropping-particle" : "", "family" : "Girard", "given" : "Ren\u00e9", "non-dropping-particle" : "", "parse-names" : false, "suffix" : "" } ], "id" : "ITEM-8", "issued" : { "date-parts" : [ [ "1972" ] ] }, "publisher" : "Grasset", "publisher-place" : "Paris", "title" : "La Violence et le sacr\u00e9", "type" : "book" }, "uris" : [ "http://www.mendeley.com/documents/?uuid=a7720505-7643-4d9f-be0d-b3c2883d4196" ] }, { "id" : "ITEM-9", "itemData" : { "abstract" : "vingan\u00e7a do Rei curso de 5 mar\u00e7o de 1975 - campanha contra a masturba\u00e7\u00e3o infantil para controlo da fam\u00edlia moderna e intromiss\u00e3o (na cama das crian\u00e7as) de observa\u00e7\u00e3o cl\u00ednica da respectiva sexualidade alegada, causa potncial de todas as doen\u00e7as. o autor n\u00e3o fala directamente de abusos sexuais de crian\u00e7as, mas descree condi\u00e7\u00f5es sociais favor\u00e1veis \u00e0 sua prolifera\u00e7\u00e3o protegida 229, 234-5, 241. curso 12 mar\u00e7o 1975 - distin\u00e7\u00e3o fam\u00edlias burguesas (problema da masturba\u00e7\u00e3o control\u00e1vel pela aproxima\u00e7\u00e3o dos corpos infantis e adultos e entregar \u00e0 psiquiatria) e as fam\u00edlias prolet\u00e1rias (incesto e separa\u00e7\u00e3o dos corpos para evitar promiscuidade e entregar aos servi\u00e7os sociais) 257 estado (fixo) deanormalidade 296/6 127-154 psiquiatria forense", "author" : [ { "dropping-particle" : "", "family" : "Foucault", "given" : "Michel", "non-dropping-particle" : "", "parse-names" : false, "suffix" : "" } ], "id" : "ITEM-9", "issued" : { "date-parts" : [ [ "1999" ] ] }, "publisher" : "Gallimard, Le Seuil", "publisher-place" : "Paris", "title" : "Les anormaux", "type" : "book" }, "uris" : [ "http://www.mendeley.com/documents/?uuid=52bda347-d0c1-46d1-86db-11a2974828be" ] }, { "id" : "ITEM-10", "itemData" : { "author" : [ { "dropping-particle" : "", "family" : "Foucault", "given" : "Michel", "non-dropping-particle" : "", "parse-names" : false, "suffix" :</w:instrText>
      </w:r>
      <w:r w:rsidRPr="0054230D">
        <w:instrText xml:space="preserve"> "" } ], "edition" : "1\u00aa ed. 200", "id" : "ITEM-10", "issued" : { "date-parts" : [ [ "2004" ] ] }, "publisher" : "Martins Fontes", "publisher-place" : "S\u00e3o Paulo", "title" : "A Hermen\u00eautica do Sujeito", "type" : "book" }, "uris" : [ "http://www.mendeley.com/documents/?uuid=0793b72e-752a-48d9-8905-eef8c47df824" ] }, { "id" : "ITEM-11", "itemData" : { "author" : [ { "dropping-particle" : "", "family" : "Foucault", "given" : "Michel", "non-dropping-particle" : "", "parse-names" : false, "suffix" : "" } ], "id" : "ITEM-11", "issued" : { "date-parts" : [ [ "1999" ] ] }, "publisher" : "Graal", "publisher-place" : "Rio de Janeiro", "title" : "Microf\u00edsica do Poder", "type" : "book" }, "uris" : [ "http://www.mendeley.com/documents/?uuid=bf78892f-7c1d-476c-96a7-d8b3cea2efc4" ] } ], "mendeley" : { "formattedCitation" : "(Morris 2016; Morris 2013; Collins 2005; Graeber 2011; Fara 2009; Girard 1978; Girard 1985; Girard 1972; Foucault 1999a; Foucault 2004; Foucault 1999b)", "plainTextFormattedCitation" : "(Morris 2016; Morris 2013; Collins 2005; Graeber 2011; Fara 2009; Girard 1978; Girard 1985; Girard 1972; Foucault 1999a; Foucault 2004; Foucault 1999b)", "previouslyFormattedCitation" : "(Morris 2016; Morris 2013; Collins 2005; Graeber 2011; Fara 2009; Girard 1978; Girard 1985; Girard 1972; Foucault 1999a; Foucault 2004; Foucault 1999b)" }, "properties" : { "noteIndex" : 0 }, "schema" : "https://github.com/citation-style-language/schema/raw/master/csl-citation.json" }</w:instrText>
      </w:r>
      <w:r>
        <w:fldChar w:fldCharType="separate"/>
      </w:r>
      <w:r w:rsidRPr="0054230D">
        <w:rPr>
          <w:noProof/>
        </w:rPr>
        <w:t>(Morris 2016; Morris 2013; Collins 2005; Graeber 2011; Fara 2009; Girard 1978; Girard 1985; Girard 1972; Foucault 1999a; Foucault 2004; Foucault 1999b)</w:t>
      </w:r>
      <w:r>
        <w:fldChar w:fldCharType="end"/>
      </w:r>
    </w:p>
    <w:p w:rsidR="0025599E" w:rsidRPr="0054230D" w:rsidRDefault="0025599E" w:rsidP="0025599E">
      <w:r w:rsidRPr="0054230D">
        <w:t>Face e surdos</w:t>
      </w:r>
    </w:p>
    <w:p w:rsidR="0025599E" w:rsidRPr="0025599E" w:rsidRDefault="0025599E" w:rsidP="0025599E">
      <w:pPr>
        <w:rPr>
          <w:lang w:val="en-US"/>
        </w:rPr>
      </w:pPr>
      <w:r>
        <w:fldChar w:fldCharType="begin" w:fldLock="1"/>
      </w:r>
      <w:r w:rsidRPr="0054230D">
        <w:instrText xml:space="preserve">ADDIN CSL_CITATION { "citationItems" : [ { "id" : "ITEM-1", "itemData" : { "abstract" : "surdos linguagem; Chomsky (59)", "author" : [ { "dropping-particle" : "", "family" : "Fox", "given" : "Margalit", "non-dropping-particle" : "", "parse-names" : false, "suffix" : "" } ], "id" : "ITEM-1", "issued" : { "date-parts" : [ [ "2007" ] ] }, "publisher" : "Simon &amp; Schuster", "publisher-place" : "New York", "title" : "Talking Hands", "type" : "book" }, "uris" : [ "http://www.mendeley.com/documents/?uuid=d1a9e86b-e5f6-4fd6-8898-4e7e6da1cafd" ] }, { "id" : "ITEM-2", "itemData" : { "author" : [ { "dropping-particle" : "", "family" : "Ladd", "given" : "Paddy", "non-dropping-particle" : "", "parse-names" : false, "suffix" : "" } ], "id" : "ITEM-2", "issued" : { "date-parts" : [ [ "2013" ] </w:instrText>
      </w:r>
      <w:r>
        <w:rPr>
          <w:lang w:val="en-US"/>
        </w:rPr>
        <w:instrText>] }, "publisher" : "Surd\u00b4Universo", "title" : "Em Busca da Surdidade 1 - Coloniza\u00e7\u00e3o dos Surdos", "type" : "book" }, "uris" : [ "http://www.mendeley.com/documents/?uuid=e47eeecd-9c3b-4472-8a8c-520e45de5d26" ] }, { "id" : "ITEM-3", "itemData" : { "ISBN" : "978-989-8766-18-2", "author" : [ { "dropping-particle" : "", "family" : "Dores", "given" : "Ant\u00f3nio", "non-dropping-particle" : "", "parse-names" : false, "suffix" : "" } ], "container-title" : "Emotional expression: The brain and the face", "editor" : [ { "dropping-particle" : "", "family" : "A. Freitas-Magalh\u00e3es", "given" : "", "non-dropping-particle" : "", "parse-names" : false, "suffix" : "" } ], "id" : "ITEM-3", "issued" : { "date-parts" : [ [ "2016" ] ] }, "page" : "205-231", "publisher" : "FEELab Science Books", "publisher-place" : "Porto", "title" : "Trust and the face", "type" : "chapter", "volume" : "8" }, "uris" : [ "http://www.mendeley.com/documents/?uuid=5c4e5bc7-f1eb-4f38-bb5d-9a3031097006" ] }, { "id" : "ITEM-4", "itemData" : { "author" : [ { "dropping-particle" : "", "family" : "Dores", "given" : "Ant\u00f3nio", "non-dropping-particle" : "", "parse-names" : false, "suffix" : "" } ], "container-title" : "Handbook on facial expression of emotion", "editor" : [ { "dropping-particle" : "", "family" : "A. Freitas-Magalh\u00e3es", "given" : "", "non-dropping-particle" : "", "parse-names" : false, "suffix" : "" }, { "dropping-particle" : "", "family" : "Bluhm", "given" : "C.", "non-dropping-particle" : "", "parse-names" : false, "suffix" : "" }, { "dropping-particle" : "", "family" : "Davis", "given" : "M.", "non-dropping-particle" : "", "parse-names" : false, "suffix" : "" }, { "dropping-particle" : "", "family" : "(Eds.)", "given" : "", "non-dropping-particle" : "", "parse-names" : false, "suffix" : "" } ], "id" : "ITEM-4", "issued" : { "date-parts" : [ [ "2013" ] ] }, "page" : "129-181", "publisher" : "FEELab Science Books", "publisher-place" : "Porto", "title" : "The brain, the face and emotion", "type" : "chapter" }, "uris" : [ "http://www.mendeley.com/documents/?uuid=4f666328-0dfa-4637-bb95-979d4daff393" ] }, { "id" : "ITEM-5", "itemData" : { "author" : [ { "dropping-particle" : "", "family" : "Dores", "given" : "Ant\u00f3nio Pedro", "non-dropping-particle" : "", "parse-names" : false, "suffix" : "" } ], "container-title" : "Handbook on facial expression of emotion (Vol. 2)", "editor" : [ { "dropping-particle" : "", "family" : "Freitas-Magalh\u00e3es", "given" : "A.", "non-dropping-particle" : "", "parse-names" : false, "suffix" : "" }, { "dropping-particle" : "", "family" : "Bluhm", "given" : "C.", "non-dropping-particle" : "", "parse-names" : false, "suffix" : "" }, { "dropping-particle" : "", "family" : "Davis", "given" : "M.", "non-dropping-particle" : "", "parse-names" : false, "suffix" : "" }, { "dropping-particle" : "", "family" : "(Eds.)", "given" : "", "non-dropping-particle" : "", "parse-names" : false, "suffix" : "" } ], "id" : "ITEM-5", "issued" : { "date-parts" : [ [ "2016" ] ] }, "note" : "NULL", "page" : "261-288", "publisher" : "FEELab Science Books", "publisher-place" : "Porto", "title" : "The time and the face", "type" : "chapter" }, "uris" : [ "http://www.mendeley.com/documents/?uuid=cd060a46-3068-4b1b-828e-a2ae6b5f6e91" ] } ], "mendeley" : { "formattedCitation" : "(Fox 2007; Ladd 2013; A. Dores 2016; Dores 2013; A. P. Dores 2016)", "plainTextFormattedCitation" : "(Fox 2007; Ladd 2013; A. Dores 2016; Dores 2013; A. P. Dores 2016)", "previouslyFormattedCitation" : "(Fox 2007; Ladd 2013; A. Dores 2016; Dores 2013; A. P. Dores 2016)" }, "properties" : { "noteIndex" : 0 }, "schema" : "https://github.com/citation-style-language/schema/raw/master/csl-citation.json" }</w:instrText>
      </w:r>
      <w:r>
        <w:fldChar w:fldCharType="separate"/>
      </w:r>
      <w:r w:rsidRPr="0025599E">
        <w:rPr>
          <w:noProof/>
          <w:lang w:val="en-US"/>
        </w:rPr>
        <w:t>(Fox 2007; Ladd 2013; A. Dores 2016; Dores 2013; A. P. Dores 2016)</w:t>
      </w:r>
      <w:r>
        <w:fldChar w:fldCharType="end"/>
      </w:r>
    </w:p>
    <w:p w:rsidR="0025599E" w:rsidRPr="0025599E" w:rsidRDefault="0025599E" w:rsidP="0025599E">
      <w:pPr>
        <w:rPr>
          <w:lang w:val="en-US"/>
        </w:rPr>
      </w:pP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fldChar w:fldCharType="begin" w:fldLock="1"/>
      </w:r>
      <w:r w:rsidRPr="0025599E">
        <w:rPr>
          <w:lang w:val="en-US"/>
        </w:rPr>
        <w:instrText xml:space="preserve">ADDIN Mendeley Bibliography CSL_BIBLIOGRAPHY </w:instrText>
      </w:r>
      <w:r>
        <w:fldChar w:fldCharType="separate"/>
      </w:r>
      <w:r w:rsidRPr="0025599E">
        <w:rPr>
          <w:rFonts w:ascii="Calibri" w:hAnsi="Calibri" w:cs="Times New Roman"/>
          <w:noProof/>
          <w:szCs w:val="24"/>
          <w:lang w:val="en-US"/>
        </w:rPr>
        <w:t xml:space="preserve">Collins, R., 2005. </w:t>
      </w:r>
      <w:r w:rsidRPr="0025599E">
        <w:rPr>
          <w:rFonts w:ascii="Calibri" w:hAnsi="Calibri" w:cs="Times New Roman"/>
          <w:i/>
          <w:iCs/>
          <w:noProof/>
          <w:szCs w:val="24"/>
          <w:lang w:val="en-US"/>
        </w:rPr>
        <w:t>Interaction Rituals Chains</w:t>
      </w:r>
      <w:r w:rsidRPr="0025599E">
        <w:rPr>
          <w:rFonts w:ascii="Calibri" w:hAnsi="Calibri" w:cs="Times New Roman"/>
          <w:noProof/>
          <w:szCs w:val="24"/>
          <w:lang w:val="en-US"/>
        </w:rPr>
        <w:t>, Princeton: Princeton University Press.</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Dores, A., 2013. The brain, the face and emotion. In A. Freitas-Magalhães et al., eds. </w:t>
      </w:r>
      <w:r w:rsidRPr="0025599E">
        <w:rPr>
          <w:rFonts w:ascii="Calibri" w:hAnsi="Calibri" w:cs="Times New Roman"/>
          <w:i/>
          <w:iCs/>
          <w:noProof/>
          <w:szCs w:val="24"/>
          <w:lang w:val="en-US"/>
        </w:rPr>
        <w:t>Handbook on facial expression of emotion</w:t>
      </w:r>
      <w:r w:rsidRPr="0025599E">
        <w:rPr>
          <w:rFonts w:ascii="Calibri" w:hAnsi="Calibri" w:cs="Times New Roman"/>
          <w:noProof/>
          <w:szCs w:val="24"/>
          <w:lang w:val="en-US"/>
        </w:rPr>
        <w:t>. Porto: FEELab Science Books, pp. 129–181. Available at: http://hdl.handle.net/10071/6793.</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Dores, A., 2016. Trust and the face. In A. Freitas-Magalhães, ed. </w:t>
      </w:r>
      <w:r w:rsidRPr="0025599E">
        <w:rPr>
          <w:rFonts w:ascii="Calibri" w:hAnsi="Calibri" w:cs="Times New Roman"/>
          <w:i/>
          <w:iCs/>
          <w:noProof/>
          <w:szCs w:val="24"/>
          <w:lang w:val="en-US"/>
        </w:rPr>
        <w:t>Emotional expression: The brain and the face</w:t>
      </w:r>
      <w:r w:rsidRPr="0025599E">
        <w:rPr>
          <w:rFonts w:ascii="Calibri" w:hAnsi="Calibri" w:cs="Times New Roman"/>
          <w:noProof/>
          <w:szCs w:val="24"/>
          <w:lang w:val="en-US"/>
        </w:rPr>
        <w:t>. Porto: FEELab Science Books, pp. 205–231.</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Dores, A.P., 2016. The time and the face. In A. Freitas-Magalhães et al., eds. </w:t>
      </w:r>
      <w:r w:rsidRPr="0025599E">
        <w:rPr>
          <w:rFonts w:ascii="Calibri" w:hAnsi="Calibri" w:cs="Times New Roman"/>
          <w:i/>
          <w:iCs/>
          <w:noProof/>
          <w:szCs w:val="24"/>
          <w:lang w:val="en-US"/>
        </w:rPr>
        <w:t>Handbook on facial expression of emotion (Vol. 2)</w:t>
      </w:r>
      <w:r w:rsidRPr="0025599E">
        <w:rPr>
          <w:rFonts w:ascii="Calibri" w:hAnsi="Calibri" w:cs="Times New Roman"/>
          <w:noProof/>
          <w:szCs w:val="24"/>
          <w:lang w:val="en-US"/>
        </w:rPr>
        <w:t>. Porto: FEELab Science Books, pp. 261–288.</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Fara, P., 2009. </w:t>
      </w:r>
      <w:r w:rsidRPr="0025599E">
        <w:rPr>
          <w:rFonts w:ascii="Calibri" w:hAnsi="Calibri" w:cs="Times New Roman"/>
          <w:i/>
          <w:iCs/>
          <w:noProof/>
          <w:szCs w:val="24"/>
          <w:lang w:val="en-US"/>
        </w:rPr>
        <w:t>Science: a Four Thousand Years History</w:t>
      </w:r>
      <w:r w:rsidRPr="0025599E">
        <w:rPr>
          <w:rFonts w:ascii="Calibri" w:hAnsi="Calibri" w:cs="Times New Roman"/>
          <w:noProof/>
          <w:szCs w:val="24"/>
          <w:lang w:val="en-US"/>
        </w:rPr>
        <w:t>, Oxford: Oxford University Press.</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Foucault, M., 2004. </w:t>
      </w:r>
      <w:r w:rsidRPr="0025599E">
        <w:rPr>
          <w:rFonts w:ascii="Calibri" w:hAnsi="Calibri" w:cs="Times New Roman"/>
          <w:i/>
          <w:iCs/>
          <w:noProof/>
          <w:szCs w:val="24"/>
          <w:lang w:val="en-US"/>
        </w:rPr>
        <w:t>A Hermenêutica do Sujeito</w:t>
      </w:r>
      <w:r w:rsidRPr="0025599E">
        <w:rPr>
          <w:rFonts w:ascii="Calibri" w:hAnsi="Calibri" w:cs="Times New Roman"/>
          <w:noProof/>
          <w:szCs w:val="24"/>
          <w:lang w:val="en-US"/>
        </w:rPr>
        <w:t xml:space="preserve"> 1</w:t>
      </w:r>
      <w:r w:rsidRPr="0025599E">
        <w:rPr>
          <w:rFonts w:ascii="Calibri" w:hAnsi="Calibri" w:cs="Times New Roman"/>
          <w:noProof/>
          <w:szCs w:val="24"/>
          <w:vertAlign w:val="superscript"/>
          <w:lang w:val="en-US"/>
        </w:rPr>
        <w:t>a</w:t>
      </w:r>
      <w:r w:rsidRPr="0025599E">
        <w:rPr>
          <w:rFonts w:ascii="Calibri" w:hAnsi="Calibri" w:cs="Times New Roman"/>
          <w:noProof/>
          <w:szCs w:val="24"/>
          <w:lang w:val="en-US"/>
        </w:rPr>
        <w:t xml:space="preserve"> ed. 200., São Paulo: Martins Fontes.</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Foucault, M., 1999a. </w:t>
      </w:r>
      <w:r w:rsidRPr="0025599E">
        <w:rPr>
          <w:rFonts w:ascii="Calibri" w:hAnsi="Calibri" w:cs="Times New Roman"/>
          <w:i/>
          <w:iCs/>
          <w:noProof/>
          <w:szCs w:val="24"/>
          <w:lang w:val="en-US"/>
        </w:rPr>
        <w:t>Les anormaux</w:t>
      </w:r>
      <w:r w:rsidRPr="0025599E">
        <w:rPr>
          <w:rFonts w:ascii="Calibri" w:hAnsi="Calibri" w:cs="Times New Roman"/>
          <w:noProof/>
          <w:szCs w:val="24"/>
          <w:lang w:val="en-US"/>
        </w:rPr>
        <w:t>, Paris: Gallimard, Le Seuil.</w:t>
      </w:r>
    </w:p>
    <w:p w:rsidR="0025599E" w:rsidRPr="0054230D" w:rsidRDefault="0025599E" w:rsidP="0025599E">
      <w:pPr>
        <w:widowControl w:val="0"/>
        <w:autoSpaceDE w:val="0"/>
        <w:autoSpaceDN w:val="0"/>
        <w:adjustRightInd w:val="0"/>
        <w:spacing w:line="240" w:lineRule="auto"/>
        <w:ind w:left="480" w:hanging="480"/>
        <w:rPr>
          <w:rFonts w:ascii="Calibri" w:hAnsi="Calibri" w:cs="Times New Roman"/>
          <w:noProof/>
          <w:szCs w:val="24"/>
        </w:rPr>
      </w:pPr>
      <w:r w:rsidRPr="0025599E">
        <w:rPr>
          <w:rFonts w:ascii="Calibri" w:hAnsi="Calibri" w:cs="Times New Roman"/>
          <w:noProof/>
          <w:szCs w:val="24"/>
          <w:lang w:val="en-US"/>
        </w:rPr>
        <w:t xml:space="preserve">Foucault, M., 1999b. </w:t>
      </w:r>
      <w:r w:rsidRPr="0054230D">
        <w:rPr>
          <w:rFonts w:ascii="Calibri" w:hAnsi="Calibri" w:cs="Times New Roman"/>
          <w:i/>
          <w:iCs/>
          <w:noProof/>
          <w:szCs w:val="24"/>
        </w:rPr>
        <w:t>Microfísica do Poder</w:t>
      </w:r>
      <w:r w:rsidRPr="0054230D">
        <w:rPr>
          <w:rFonts w:ascii="Calibri" w:hAnsi="Calibri" w:cs="Times New Roman"/>
          <w:noProof/>
          <w:szCs w:val="24"/>
        </w:rPr>
        <w:t>, Rio de Janeiro: Graal.</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Fox, M., 2007. </w:t>
      </w:r>
      <w:r w:rsidRPr="0025599E">
        <w:rPr>
          <w:rFonts w:ascii="Calibri" w:hAnsi="Calibri" w:cs="Times New Roman"/>
          <w:i/>
          <w:iCs/>
          <w:noProof/>
          <w:szCs w:val="24"/>
          <w:lang w:val="en-US"/>
        </w:rPr>
        <w:t>Talking Hands</w:t>
      </w:r>
      <w:r w:rsidRPr="0025599E">
        <w:rPr>
          <w:rFonts w:ascii="Calibri" w:hAnsi="Calibri" w:cs="Times New Roman"/>
          <w:noProof/>
          <w:szCs w:val="24"/>
          <w:lang w:val="en-US"/>
        </w:rPr>
        <w:t>, New York: Simon &amp; Schuster.</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Girard, R., 1978. </w:t>
      </w:r>
      <w:r w:rsidRPr="0025599E">
        <w:rPr>
          <w:rFonts w:ascii="Calibri" w:hAnsi="Calibri" w:cs="Times New Roman"/>
          <w:i/>
          <w:iCs/>
          <w:noProof/>
          <w:szCs w:val="24"/>
          <w:lang w:val="en-US"/>
        </w:rPr>
        <w:t>Des Choses Cachées Depuis la Fondation du Monde</w:t>
      </w:r>
      <w:r w:rsidRPr="0025599E">
        <w:rPr>
          <w:rFonts w:ascii="Calibri" w:hAnsi="Calibri" w:cs="Times New Roman"/>
          <w:noProof/>
          <w:szCs w:val="24"/>
          <w:lang w:val="en-US"/>
        </w:rPr>
        <w:t>, Paris: Éditions Grasser et Fasquelle.</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Girard, R., 1985. </w:t>
      </w:r>
      <w:r w:rsidRPr="0025599E">
        <w:rPr>
          <w:rFonts w:ascii="Calibri" w:hAnsi="Calibri" w:cs="Times New Roman"/>
          <w:i/>
          <w:iCs/>
          <w:noProof/>
          <w:szCs w:val="24"/>
          <w:lang w:val="en-US"/>
        </w:rPr>
        <w:t>La Route Antique des Hommes Pervers</w:t>
      </w:r>
      <w:r w:rsidRPr="0025599E">
        <w:rPr>
          <w:rFonts w:ascii="Calibri" w:hAnsi="Calibri" w:cs="Times New Roman"/>
          <w:noProof/>
          <w:szCs w:val="24"/>
          <w:lang w:val="en-US"/>
        </w:rPr>
        <w:t>, Paris: Bernard Grasset.</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Girard, R., 1972. </w:t>
      </w:r>
      <w:r w:rsidRPr="0025599E">
        <w:rPr>
          <w:rFonts w:ascii="Calibri" w:hAnsi="Calibri" w:cs="Times New Roman"/>
          <w:i/>
          <w:iCs/>
          <w:noProof/>
          <w:szCs w:val="24"/>
          <w:lang w:val="en-US"/>
        </w:rPr>
        <w:t>La Violence et le sacré</w:t>
      </w:r>
      <w:r w:rsidRPr="0025599E">
        <w:rPr>
          <w:rFonts w:ascii="Calibri" w:hAnsi="Calibri" w:cs="Times New Roman"/>
          <w:noProof/>
          <w:szCs w:val="24"/>
          <w:lang w:val="en-US"/>
        </w:rPr>
        <w:t>, Paris: Grasset.</w:t>
      </w:r>
    </w:p>
    <w:p w:rsidR="0025599E" w:rsidRPr="0025599E" w:rsidRDefault="0025599E" w:rsidP="0025599E">
      <w:pPr>
        <w:widowControl w:val="0"/>
        <w:autoSpaceDE w:val="0"/>
        <w:autoSpaceDN w:val="0"/>
        <w:adjustRightInd w:val="0"/>
        <w:spacing w:line="240" w:lineRule="auto"/>
        <w:ind w:left="480" w:hanging="480"/>
        <w:rPr>
          <w:rFonts w:ascii="Calibri" w:hAnsi="Calibri" w:cs="Times New Roman"/>
          <w:noProof/>
          <w:szCs w:val="24"/>
          <w:lang w:val="en-US"/>
        </w:rPr>
      </w:pPr>
      <w:r w:rsidRPr="0025599E">
        <w:rPr>
          <w:rFonts w:ascii="Calibri" w:hAnsi="Calibri" w:cs="Times New Roman"/>
          <w:noProof/>
          <w:szCs w:val="24"/>
          <w:lang w:val="en-US"/>
        </w:rPr>
        <w:t xml:space="preserve">Graeber, D., 2011. </w:t>
      </w:r>
      <w:r w:rsidRPr="0025599E">
        <w:rPr>
          <w:rFonts w:ascii="Calibri" w:hAnsi="Calibri" w:cs="Times New Roman"/>
          <w:i/>
          <w:iCs/>
          <w:noProof/>
          <w:szCs w:val="24"/>
          <w:lang w:val="en-US"/>
        </w:rPr>
        <w:t>Debt – the First 5000 Years</w:t>
      </w:r>
      <w:r w:rsidRPr="0025599E">
        <w:rPr>
          <w:rFonts w:ascii="Calibri" w:hAnsi="Calibri" w:cs="Times New Roman"/>
          <w:noProof/>
          <w:szCs w:val="24"/>
          <w:lang w:val="en-US"/>
        </w:rPr>
        <w:t>, NY: Melville House Publishing.</w:t>
      </w:r>
    </w:p>
    <w:p w:rsidR="0025599E" w:rsidRDefault="0025599E" w:rsidP="0025599E">
      <w:pPr>
        <w:widowControl w:val="0"/>
        <w:autoSpaceDE w:val="0"/>
        <w:autoSpaceDN w:val="0"/>
        <w:adjustRightInd w:val="0"/>
        <w:spacing w:line="240" w:lineRule="auto"/>
        <w:ind w:left="480" w:hanging="480"/>
        <w:rPr>
          <w:rFonts w:ascii="Calibri" w:hAnsi="Calibri" w:cs="Times New Roman"/>
          <w:noProof/>
          <w:szCs w:val="24"/>
        </w:rPr>
      </w:pPr>
      <w:r w:rsidRPr="0054230D">
        <w:rPr>
          <w:rFonts w:ascii="Calibri" w:hAnsi="Calibri" w:cs="Times New Roman"/>
          <w:noProof/>
          <w:szCs w:val="24"/>
        </w:rPr>
        <w:t xml:space="preserve">Ladd, P., 2013. </w:t>
      </w:r>
      <w:r w:rsidRPr="000817DC">
        <w:rPr>
          <w:rFonts w:ascii="Calibri" w:hAnsi="Calibri" w:cs="Times New Roman"/>
          <w:i/>
          <w:iCs/>
          <w:noProof/>
          <w:szCs w:val="24"/>
        </w:rPr>
        <w:t>Em Busca da Surdidade 1 - Colonização dos Surdos</w:t>
      </w:r>
      <w:r w:rsidRPr="000817DC">
        <w:rPr>
          <w:rFonts w:ascii="Calibri" w:hAnsi="Calibri" w:cs="Times New Roman"/>
          <w:noProof/>
          <w:szCs w:val="24"/>
        </w:rPr>
        <w:t>, Sur</w:t>
      </w:r>
      <w:r>
        <w:rPr>
          <w:rFonts w:ascii="Calibri" w:hAnsi="Calibri" w:cs="Times New Roman"/>
          <w:noProof/>
          <w:szCs w:val="24"/>
        </w:rPr>
        <w:t>d´Universo.</w:t>
      </w:r>
    </w:p>
    <w:p w:rsidR="0025599E" w:rsidRDefault="0025599E" w:rsidP="0025599E">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noProof/>
          <w:szCs w:val="24"/>
        </w:rPr>
        <w:t xml:space="preserve">Morris, I., 2016. </w:t>
      </w:r>
      <w:r>
        <w:rPr>
          <w:rFonts w:ascii="Calibri" w:hAnsi="Calibri" w:cs="Times New Roman"/>
          <w:i/>
          <w:iCs/>
          <w:noProof/>
          <w:szCs w:val="24"/>
        </w:rPr>
        <w:t>Guerra! Para que serve? – o Papel do Conflito na Civilização, dos Primatas aos Robôs</w:t>
      </w:r>
      <w:r>
        <w:rPr>
          <w:rFonts w:ascii="Calibri" w:hAnsi="Calibri" w:cs="Times New Roman"/>
          <w:noProof/>
          <w:szCs w:val="24"/>
        </w:rPr>
        <w:t>, Lisboa: Bertrand.</w:t>
      </w:r>
    </w:p>
    <w:p w:rsidR="0025599E" w:rsidRDefault="0025599E" w:rsidP="0025599E">
      <w:pPr>
        <w:widowControl w:val="0"/>
        <w:autoSpaceDE w:val="0"/>
        <w:autoSpaceDN w:val="0"/>
        <w:adjustRightInd w:val="0"/>
        <w:spacing w:line="240" w:lineRule="auto"/>
        <w:ind w:left="480" w:hanging="480"/>
        <w:rPr>
          <w:rFonts w:ascii="Calibri" w:hAnsi="Calibri"/>
          <w:noProof/>
        </w:rPr>
      </w:pPr>
      <w:r>
        <w:rPr>
          <w:rFonts w:ascii="Calibri" w:hAnsi="Calibri" w:cs="Times New Roman"/>
          <w:noProof/>
          <w:szCs w:val="24"/>
        </w:rPr>
        <w:lastRenderedPageBreak/>
        <w:t xml:space="preserve">Morris, I., 2013. </w:t>
      </w:r>
      <w:r>
        <w:rPr>
          <w:rFonts w:ascii="Calibri" w:hAnsi="Calibri" w:cs="Times New Roman"/>
          <w:i/>
          <w:iCs/>
          <w:noProof/>
          <w:szCs w:val="24"/>
        </w:rPr>
        <w:t>O Domínio do Ocidente</w:t>
      </w:r>
      <w:r>
        <w:rPr>
          <w:rFonts w:ascii="Calibri" w:hAnsi="Calibri" w:cs="Times New Roman"/>
          <w:noProof/>
          <w:szCs w:val="24"/>
        </w:rPr>
        <w:t xml:space="preserve"> 1</w:t>
      </w:r>
      <w:r>
        <w:rPr>
          <w:rFonts w:ascii="Calibri" w:hAnsi="Calibri" w:cs="Times New Roman"/>
          <w:noProof/>
          <w:szCs w:val="24"/>
          <w:vertAlign w:val="superscript"/>
        </w:rPr>
        <w:t>a</w:t>
      </w:r>
      <w:r>
        <w:rPr>
          <w:rFonts w:ascii="Calibri" w:hAnsi="Calibri" w:cs="Times New Roman"/>
          <w:noProof/>
          <w:szCs w:val="24"/>
        </w:rPr>
        <w:t xml:space="preserve"> ed. 201., Lisboa: Bertrand.</w:t>
      </w:r>
    </w:p>
    <w:p w:rsidR="0025599E" w:rsidRPr="0025599E" w:rsidRDefault="0025599E" w:rsidP="0025599E">
      <w:r>
        <w:fldChar w:fldCharType="end"/>
      </w:r>
    </w:p>
    <w:p w:rsidR="00697426" w:rsidRDefault="00697426"/>
    <w:sectPr w:rsidR="006974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9E"/>
    <w:rsid w:val="000817DC"/>
    <w:rsid w:val="001D7F87"/>
    <w:rsid w:val="0025599E"/>
    <w:rsid w:val="002D2F9E"/>
    <w:rsid w:val="003D1776"/>
    <w:rsid w:val="0054230D"/>
    <w:rsid w:val="005F64CD"/>
    <w:rsid w:val="0060091F"/>
    <w:rsid w:val="00697426"/>
    <w:rsid w:val="008D6D14"/>
    <w:rsid w:val="00F27D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AC83"/>
  <w15:docId w15:val="{96671735-AD91-4337-B955-CEE37EDA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599E"/>
    <w:pPr>
      <w:spacing w:after="160"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263">
      <w:bodyDiv w:val="1"/>
      <w:marLeft w:val="0"/>
      <w:marRight w:val="0"/>
      <w:marTop w:val="0"/>
      <w:marBottom w:val="0"/>
      <w:divBdr>
        <w:top w:val="none" w:sz="0" w:space="0" w:color="auto"/>
        <w:left w:val="none" w:sz="0" w:space="0" w:color="auto"/>
        <w:bottom w:val="none" w:sz="0" w:space="0" w:color="auto"/>
        <w:right w:val="none" w:sz="0" w:space="0" w:color="auto"/>
      </w:divBdr>
    </w:div>
    <w:div w:id="3890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4010</Words>
  <Characters>21659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5</cp:revision>
  <dcterms:created xsi:type="dcterms:W3CDTF">2017-09-09T09:14:00Z</dcterms:created>
  <dcterms:modified xsi:type="dcterms:W3CDTF">2017-09-09T10:47:00Z</dcterms:modified>
</cp:coreProperties>
</file>