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68" w:rsidRDefault="0001563E">
      <w:bookmarkStart w:id="0" w:name="_GoBack"/>
      <w:bookmarkEnd w:id="0"/>
      <w:r>
        <w:t xml:space="preserve">Esforços sociológicos para sair da actual prisão epistémica </w:t>
      </w:r>
    </w:p>
    <w:p w:rsidR="001A407C" w:rsidRDefault="009C7684">
      <w:r>
        <w:t xml:space="preserve">Os melhores autores de sociologia estão a contas com a mesma. Queixam-se dela ao mesmo tempo que se declaram rendidos aos seus encantos. </w:t>
      </w:r>
      <w:r w:rsidR="00944F0F">
        <w:t xml:space="preserve">Preferem esperar que ela se transforme a </w:t>
      </w:r>
      <w:r>
        <w:t>f</w:t>
      </w:r>
      <w:r w:rsidR="00944F0F">
        <w:t>azer aquilo que é indispensável</w:t>
      </w:r>
      <w:r>
        <w:t>: romper com a relação para a renovar, para a actualizar</w:t>
      </w:r>
      <w:r w:rsidR="00944F0F">
        <w:t>, que é a forma de obrigar à sua transformação</w:t>
      </w:r>
      <w:r>
        <w:t>.</w:t>
      </w:r>
    </w:p>
    <w:p w:rsidR="009C7684" w:rsidRDefault="00944F0F">
      <w:r>
        <w:t>A</w:t>
      </w:r>
      <w:r w:rsidR="009C7684">
        <w:t>ctualizar a sociologia pode constituir uma fuga em frente</w:t>
      </w:r>
      <w:r>
        <w:t>, como já ocorreu no passado</w:t>
      </w:r>
      <w:r w:rsidR="009C7684">
        <w:t xml:space="preserve">. </w:t>
      </w:r>
      <w:r>
        <w:t>Fazer uso d</w:t>
      </w:r>
      <w:r w:rsidR="00425E68">
        <w:t>e um</w:t>
      </w:r>
      <w:r>
        <w:t>a</w:t>
      </w:r>
      <w:r w:rsidR="00425E68">
        <w:t xml:space="preserve"> pedra acrítica sobre </w:t>
      </w:r>
      <w:r w:rsidR="009C7684">
        <w:t xml:space="preserve">o passado, </w:t>
      </w:r>
      <w:r>
        <w:t xml:space="preserve">à moda das revoluções, </w:t>
      </w:r>
      <w:r w:rsidR="009C7684">
        <w:t>de modo a que tudo comece de novo</w:t>
      </w:r>
      <w:r>
        <w:t xml:space="preserve">, </w:t>
      </w:r>
      <w:r w:rsidR="00425E68">
        <w:t xml:space="preserve">pode deixar por resolver </w:t>
      </w:r>
      <w:r>
        <w:t>os problemas de fundo</w:t>
      </w:r>
      <w:r w:rsidR="00425E68">
        <w:t xml:space="preserve">. Sem consciência da crítica a fazer, </w:t>
      </w:r>
      <w:r w:rsidR="009C7684">
        <w:t xml:space="preserve">tudo </w:t>
      </w:r>
      <w:r w:rsidR="00425E68">
        <w:t xml:space="preserve">pode </w:t>
      </w:r>
      <w:r w:rsidR="009C7684">
        <w:t>retorn</w:t>
      </w:r>
      <w:r>
        <w:t>ar</w:t>
      </w:r>
      <w:r w:rsidR="009C7684">
        <w:t xml:space="preserve"> aos mesmos problemas de partida</w:t>
      </w:r>
      <w:r w:rsidR="00425E68">
        <w:t>. C</w:t>
      </w:r>
      <w:r w:rsidR="009C7684">
        <w:t>omo terá acontecido nas décadas de sessenta e setenta</w:t>
      </w:r>
      <w:r>
        <w:t xml:space="preserve"> com a sociologia</w:t>
      </w:r>
      <w:r w:rsidR="009C7684">
        <w:t xml:space="preserve">. Segundo </w:t>
      </w:r>
      <w:r w:rsidR="009C7684" w:rsidRPr="009C7684">
        <w:rPr>
          <w:noProof/>
        </w:rPr>
        <w:t xml:space="preserve">Mouzelis </w:t>
      </w:r>
      <w:r w:rsidR="009C7684">
        <w:fldChar w:fldCharType="begin" w:fldLock="1"/>
      </w:r>
      <w:r w:rsidR="009C7684">
        <w:instrText>ADDIN CSL_CITATION { "citationItems" : [ { "id" : "ITEM-1", "itemData" : { "abstract" : ":7 Giddens, Elias e Bourdieu", "author" : [ { "dropping-particle" : "", "family" : "Mouzelis", "given" : "Nicos", "non-dropping-particle" : "", "parse-names" : false, "suffix" : "" } ], "id" : "ITEM-1", "issued" : { "date-parts" : [ [ "1995" ] ] }, "publisher" : "Routledge", "publisher-place" : "London", "title" : "Sociological Theory: What Went Wrong? \u2013 diagnosis and remedies", "type" : "book" }, "uris" : [ "http://www.mendeley.com/documents/?uuid=405cb62c-632b-48ad-a641-a44808d7b2f2" ] } ], "mendeley" : { "formattedCitation" : "(Mouzelis 1995)", "manualFormatting" : "(1995:7)", "plainTextFormattedCitation" : "(Mouzelis 1995)", "previouslyFormattedCitation" : "(Mouzelis 1995)" }, "properties" : { "noteIndex" : 0 }, "schema" : "https://github.com/citation-style-language/schema/raw/master/csl-citation.json" }</w:instrText>
      </w:r>
      <w:r w:rsidR="009C7684">
        <w:fldChar w:fldCharType="separate"/>
      </w:r>
      <w:r w:rsidR="009C7684" w:rsidRPr="009C7684">
        <w:rPr>
          <w:noProof/>
        </w:rPr>
        <w:t>(1995</w:t>
      </w:r>
      <w:r w:rsidR="009C7684">
        <w:rPr>
          <w:noProof/>
        </w:rPr>
        <w:t>:7</w:t>
      </w:r>
      <w:r w:rsidR="009C7684" w:rsidRPr="009C7684">
        <w:rPr>
          <w:noProof/>
        </w:rPr>
        <w:t>)</w:t>
      </w:r>
      <w:r w:rsidR="009C7684">
        <w:fldChar w:fldCharType="end"/>
      </w:r>
      <w:r w:rsidR="009C7684">
        <w:t xml:space="preserve">, a sociologia em vez de tirar partido das críticas anti-estrutural-funcionalistas de modo substantivo, fê-lo de um modo formal. </w:t>
      </w:r>
      <w:r>
        <w:t>Deixou de mencionar</w:t>
      </w:r>
      <w:r w:rsidR="009C7684">
        <w:t xml:space="preserve"> as origens das ideias mas manteve o fundamental do pensamento dominante norte-americano estabelecido no pós-guerra: reducionista do que é a sociedade e </w:t>
      </w:r>
      <w:proofErr w:type="spellStart"/>
      <w:r w:rsidR="009C7684">
        <w:t>reificador</w:t>
      </w:r>
      <w:proofErr w:type="spellEnd"/>
      <w:r w:rsidR="009C7684">
        <w:t xml:space="preserve"> das suas </w:t>
      </w:r>
      <w:r w:rsidR="00590F97">
        <w:t>potencialidades de intervenção.</w:t>
      </w:r>
    </w:p>
    <w:p w:rsidR="00DA0FED" w:rsidRDefault="00944F0F">
      <w:r>
        <w:t>Reducionista</w:t>
      </w:r>
      <w:r w:rsidR="00425E68">
        <w:t xml:space="preserve"> da sociedade por que a reduziu à</w:t>
      </w:r>
      <w:r w:rsidR="00F802EC">
        <w:t>s suas dimensões de poder</w:t>
      </w:r>
      <w:r>
        <w:t>, argumento eu, seguindo</w:t>
      </w:r>
      <w:r w:rsidR="00F802EC">
        <w:t xml:space="preserve"> </w:t>
      </w:r>
      <w:proofErr w:type="spellStart"/>
      <w:r w:rsidR="00F802EC">
        <w:t>Moscovici</w:t>
      </w:r>
      <w:proofErr w:type="spellEnd"/>
      <w:r w:rsidR="00F802EC">
        <w:t xml:space="preserve"> e </w:t>
      </w:r>
      <w:proofErr w:type="spellStart"/>
      <w:r w:rsidR="00F802EC">
        <w:t>Doise</w:t>
      </w:r>
      <w:proofErr w:type="spellEnd"/>
      <w:r w:rsidR="00F802EC">
        <w:t xml:space="preserve"> </w:t>
      </w:r>
      <w:r w:rsidR="00F802EC">
        <w:fldChar w:fldCharType="begin" w:fldLock="1"/>
      </w:r>
      <w:r w:rsidR="00F802EC">
        <w:instrText>ADDIN CSL_CITATION { "citationItems" : [ { "id" : "ITEM-1", "itemData" : { "author" : [ { "dropping-particle" : "", "family" : "Moscovici", "given" : "Serge", "non-dropping-particle" : "", "parse-names" : false, "suffix" : "" }, { "dropping-particle" : "", "family" : "Doise", "given" : "Willem", "non-dropping-particle" : "", "parse-names" : false, "suffix" : "" } ], "id" : "ITEM-1", "issued" : { "date-parts" : [ [ "1991" ] ] }, "publisher" : "Livros Horizonte", "publisher-place" : "Lisboa", "title" : "Dissens\u00f5es e Consenso", "type" : "book" }, "suppress-author" : 1, "uris" : [ "http://www.mendeley.com/documents/?uuid=3d104ab7-0cfe-4a04-a19d-bbfa245c2406" ] } ], "mendeley" : { "formattedCitation" : "(1991)", "plainTextFormattedCitation" : "(1991)", "previouslyFormattedCitation" : "(1991)" }, "properties" : { "noteIndex" : 0 }, "schema" : "https://github.com/citation-style-language/schema/raw/master/csl-citation.json" }</w:instrText>
      </w:r>
      <w:r w:rsidR="00F802EC">
        <w:fldChar w:fldCharType="separate"/>
      </w:r>
      <w:r w:rsidR="00F802EC" w:rsidRPr="00F802EC">
        <w:rPr>
          <w:noProof/>
        </w:rPr>
        <w:t>(1991)</w:t>
      </w:r>
      <w:r w:rsidR="00F802EC">
        <w:fldChar w:fldCharType="end"/>
      </w:r>
      <w:r w:rsidR="00F802EC">
        <w:t>,</w:t>
      </w:r>
      <w:r>
        <w:t xml:space="preserve"> </w:t>
      </w:r>
      <w:proofErr w:type="spellStart"/>
      <w:r w:rsidR="00F802EC">
        <w:t>Therborn</w:t>
      </w:r>
      <w:proofErr w:type="spellEnd"/>
      <w:r w:rsidR="00F802EC">
        <w:t xml:space="preserve"> </w:t>
      </w:r>
      <w:r w:rsidR="00F802EC">
        <w:fldChar w:fldCharType="begin" w:fldLock="1"/>
      </w:r>
      <w:r w:rsidR="00F802EC">
        <w:instrText>ADDIN CSL_CITATION { "citationItems" : [ { "id" : "ITEM-1", "itemData" : { "abstract" : "3: poder precisa juntar estudo da vitalidade e existencial", "author" : [ { "dropping-particle" : "", "family" : "Therborn", "given" : "G\u00f6ran", "non-dropping-particle" : "", "parse-names" : false, "suffix" : "" } ], "container-title" : "Inequalities of the World \u2013 New Theoretical Frameworks, Multiple empirical approaches", "editor" : [ { "dropping-particle" : "", "family" : "Therborn", "given" : "G\u00f6ran", "non-dropping-particle" : "", "parse-names" : false, "suffix" : "" } ], "id" : "ITEM-1", "issued" : { "date-parts" : [ [ "2006" ] ] }, "page" : "1- 58", "title" : "Meaning, Mechanisms, Patterns and Forces: an Introduction", "type" : "chapter" }, "suppress-author" : 1, "uris" : [ "http://www.mendeley.com/documents/?uuid=104942a1-15c5-4ee2-afd9-ed1ca5ec539f" ] } ], "mendeley" : { "formattedCitation" : "(2006)", "manualFormatting" : "(2006:3)", "plainTextFormattedCitation" : "(2006)", "previouslyFormattedCitation" : "(2006)" }, "properties" : { "noteIndex" : 0 }, "schema" : "https://github.com/citation-style-language/schema/raw/master/csl-citation.json" }</w:instrText>
      </w:r>
      <w:r w:rsidR="00F802EC">
        <w:fldChar w:fldCharType="separate"/>
      </w:r>
      <w:r w:rsidR="00F802EC" w:rsidRPr="00F802EC">
        <w:rPr>
          <w:noProof/>
        </w:rPr>
        <w:t>(2006</w:t>
      </w:r>
      <w:r w:rsidR="00F802EC">
        <w:rPr>
          <w:noProof/>
        </w:rPr>
        <w:t>:3</w:t>
      </w:r>
      <w:r w:rsidR="00F802EC" w:rsidRPr="00F802EC">
        <w:rPr>
          <w:noProof/>
        </w:rPr>
        <w:t>)</w:t>
      </w:r>
      <w:r w:rsidR="00F802EC">
        <w:fldChar w:fldCharType="end"/>
      </w:r>
      <w:r w:rsidR="00F802EC">
        <w:t xml:space="preserve"> ou</w:t>
      </w:r>
      <w:r w:rsidR="00F802EC" w:rsidRPr="00F802EC">
        <w:t xml:space="preserve"> </w:t>
      </w:r>
      <w:proofErr w:type="spellStart"/>
      <w:r w:rsidR="00F802EC">
        <w:t>Lahire</w:t>
      </w:r>
      <w:proofErr w:type="spellEnd"/>
      <w:r w:rsidR="00F802EC">
        <w:t xml:space="preserve"> </w:t>
      </w:r>
      <w:r w:rsidR="00F802EC">
        <w:fldChar w:fldCharType="begin" w:fldLock="1"/>
      </w:r>
      <w:r w:rsidR="00F802EC">
        <w:instrText>ADDIN CSL_CITATION { "citationItems" : [ { "id" : "ITEM-1", "itemData" : { "author" : [ { "dropping-particle" : "", "family" : "Lahire", "given" : "Bernard", "non-dropping-particle" : "", "parse-names" : false, "suffix" : "" } ], "id" : "ITEM-1", "issued" : { "date-parts" : [ [ "2003" ] ] }, "publisher" : "Piaget", "publisher-place" : "Lisboa", "title" : "O Homem Plural \u2013 As Molas da Ac\u00e7\u00e3o", "type" : "book" }, "uris" : [ "http://www.mendeley.com/documents/?uuid=13dc0fda-a7c6-4d43-9dc9-13abd2ed6649" ] }, { "id" : "ITEM-2", "itemData" : { "abstract" : "319-356 - organiza\u00e7\u00e3o da avalia\u00e7\u00e3o cient\u00edfica CS 347-351 Proposta de luta contra a burocracia cient\u00edfica \u2013 investigadores de todas as disciplinas e de todo o mundo uni-vos: 125: estudo poder deve ser completado", "author" : [ { "dropping-particle" : "", "family" : "Lahire", "given" : "Bernard", "non-dropping-particle" : "", "parse-names" : false, "suffix" : "" } ], "edition" : "Couleur de", "id" : "ITEM-2", "issued" : { "date-parts" : [ [ "2012" ] ] }, "publisher" : "Seuil", "publisher-place" : "Paris", "title" : "Monde pluriel. Penser l'unit\u00e9 des sciences sociales", "type" : "book" }, "uris" : [ "http://www.mendeley.com/documents/?uuid=696adb94-d985-4f4c-8d08-271c1740a85f" ] } ], "mendeley" : { "formattedCitation" : "(Lahire 2003; Lahire 2012)", "manualFormatting" : "(2012:125)", "plainTextFormattedCitation" : "(Lahire 2003; Lahire 2012)", "previouslyFormattedCitation" : "(Lahire 2003; Lahire 2012)" }, "properties" : { "noteIndex" : 0 }, "schema" : "https://github.com/citation-style-language/schema/raw/master/csl-citation.json" }</w:instrText>
      </w:r>
      <w:r w:rsidR="00F802EC">
        <w:fldChar w:fldCharType="separate"/>
      </w:r>
      <w:r w:rsidR="00F802EC" w:rsidRPr="00944F0F">
        <w:rPr>
          <w:noProof/>
        </w:rPr>
        <w:t>(2012</w:t>
      </w:r>
      <w:r w:rsidR="00F802EC">
        <w:rPr>
          <w:noProof/>
        </w:rPr>
        <w:t>:125</w:t>
      </w:r>
      <w:r w:rsidR="00F802EC" w:rsidRPr="00944F0F">
        <w:rPr>
          <w:noProof/>
        </w:rPr>
        <w:t>)</w:t>
      </w:r>
      <w:r w:rsidR="00F802EC">
        <w:fldChar w:fldCharType="end"/>
      </w:r>
      <w:r w:rsidR="00F802EC">
        <w:t xml:space="preserve">. Sociologia </w:t>
      </w:r>
      <w:proofErr w:type="spellStart"/>
      <w:r w:rsidR="00F802EC">
        <w:t>reificadora</w:t>
      </w:r>
      <w:proofErr w:type="spellEnd"/>
      <w:r w:rsidR="00F802EC">
        <w:t xml:space="preserve"> por passar </w:t>
      </w:r>
      <w:r w:rsidR="00DA0FED">
        <w:t xml:space="preserve">desconsiderar </w:t>
      </w:r>
      <w:r w:rsidR="00F802EC">
        <w:t xml:space="preserve">as dimensões de cuidado e violência, </w:t>
      </w:r>
      <w:r w:rsidR="00DA0FED">
        <w:t xml:space="preserve">por um lado, e as dimensões de regulação identitária, por outro lado. Por exemplo, por desconsiderar as dimensões da violência nas escolas </w:t>
      </w:r>
      <w:r w:rsidR="00DA0FED">
        <w:fldChar w:fldCharType="begin" w:fldLock="1"/>
      </w:r>
      <w:r w:rsidR="00DA0FED">
        <w:instrText>ADDIN CSL_CITATION { "citationItems" : [ { "id" : "ITEM-1", "itemData" : { "author" : [ { "dropping-particle" : "", "family" : "Bourdieu", "given" : "Pierre", "non-dropping-particle" : "", "parse-names" : false, "suffix" : "" }, { "dropping-particle" : "", "family" : "Passeron", "given" : "Jean-Claude", "non-dropping-particle" : "", "parse-names" : false, "suffix" : "" } ], "id" : "ITEM-1", "issued" : { "date-parts" : [ [ "1964" ] ] }, "publisher" : "\u00e9ditions de Minuit", "publisher-place" : "Paris", "title" : "Les H\u00e9ritiers", "type" : "book" }, "uris" : [ "http://www.mendeley.com/documents/?uuid=de9b874d-a26c-48d9-8d63-f1f77d4372b2" ] } ], "mendeley" : { "formattedCitation" : "(Bourdieu &amp; Passeron 1964)", "plainTextFormattedCitation" : "(Bourdieu &amp; Passeron 1964)", "previouslyFormattedCitation" : "(Bourdieu &amp; Passeron 1964)" }, "properties" : { "noteIndex" : 0 }, "schema" : "https://github.com/citation-style-language/schema/raw/master/csl-citation.json" }</w:instrText>
      </w:r>
      <w:r w:rsidR="00DA0FED">
        <w:fldChar w:fldCharType="separate"/>
      </w:r>
      <w:r w:rsidR="00DA0FED" w:rsidRPr="00DA0FED">
        <w:rPr>
          <w:noProof/>
        </w:rPr>
        <w:t>(Bourdieu &amp; Passeron 1964)</w:t>
      </w:r>
      <w:r w:rsidR="00DA0FED">
        <w:fldChar w:fldCharType="end"/>
      </w:r>
      <w:r w:rsidR="00DA0FED">
        <w:t xml:space="preserve"> ou na saúde </w:t>
      </w:r>
      <w:r w:rsidR="00DA0FED">
        <w:fldChar w:fldCharType="begin" w:fldLock="1"/>
      </w:r>
      <w:r w:rsidR="00DA0FED">
        <w:instrText>ADDIN CSL_CITATION { "citationItems" : [ { "id" : "ITEM-1", "itemData" : { "abstract" : "vingan\u00e7a do Rei curso de 5 mar\u00e7o de 1975 - campanha contra a masturba\u00e7\u00e3o infantil para controlo da fam\u00edlia moderna e intromiss\u00e3o (na cama das crian\u00e7as) de observa\u00e7\u00e3o cl\u00ednica da respectiva sexualidade alegada, causa potncial de todas as doen\u00e7as. o autor n\u00e3o fala directamente de abusos sexuais de crian\u00e7as, mas descree condi\u00e7\u00f5es sociais favor\u00e1veis \u00e0 sua prolifera\u00e7\u00e3o protegida 229, 234-5, 241. curso 12 mar\u00e7o 1975 - distin\u00e7\u00e3o fam\u00edlias burguesas (problema da masturba\u00e7\u00e3o control\u00e1vel pela aproxima\u00e7\u00e3o dos corpos infantis e adultos e entregar \u00e0 psiquiatria) e as fam\u00edlias prolet\u00e1rias (incesto e separa\u00e7\u00e3o dos corpos para evitar promiscuidade e entregar aos servi\u00e7os sociais) 257 estado (fixo) deanormalidade 296/6", "author" : [ { "dropping-particle" : "", "family" : "Foucault", "given" : "Michel", "non-dropping-particle" : "", "parse-names" : false, "suffix" : "" } ], "id" : "ITEM-1", "issued" : { "date-parts" : [ [ "1999" ] ] }, "publisher" : "Gallimard, Le Seuil", "publisher-place" : "Paris", "title" : "Les anormaux", "type" : "book" }, "uris" : [ "http://www.mendeley.com/documents/?uuid=52bda347-d0c1-46d1-86db-11a2974828be" ] } ], "mendeley" : { "formattedCitation" : "(Foucault 1999)", "plainTextFormattedCitation" : "(Foucault 1999)", "previouslyFormattedCitation" : "(Foucault 1999)" }, "properties" : { "noteIndex" : 0 }, "schema" : "https://github.com/citation-style-language/schema/raw/master/csl-citation.json" }</w:instrText>
      </w:r>
      <w:r w:rsidR="00DA0FED">
        <w:fldChar w:fldCharType="separate"/>
      </w:r>
      <w:r w:rsidR="00DA0FED" w:rsidRPr="00DA0FED">
        <w:rPr>
          <w:noProof/>
        </w:rPr>
        <w:t>(Foucault 1999)</w:t>
      </w:r>
      <w:r w:rsidR="00DA0FED">
        <w:fldChar w:fldCharType="end"/>
      </w:r>
      <w:r w:rsidR="00DA0FED">
        <w:t xml:space="preserve">. Por desconsiderar a regulação identitária implicada nas guerras </w:t>
      </w:r>
      <w:r w:rsidR="00DA0FED">
        <w:fldChar w:fldCharType="begin" w:fldLock="1"/>
      </w:r>
      <w:r w:rsidR="00DA0FED">
        <w:instrText>ADDIN CSL_CITATION { "citationItems" : [ { "id" : "ITEM-1", "itemData" : { "author" : [ { "dropping-particle" : "", "family" : "Girard", "given" : "Ren\u00e9", "non-dropping-particle" : "", "parse-names" : false, "suffix" : "" } ], "id" : "ITEM-1", "issued" : { "date-parts" : [ [ "1972" ] ] }, "publisher" : "Grasset", "publisher-place" : "Paris", "title" : "La Violence et le sacr\u00e9", "type" : "book" }, "uris" : [ "http://www.mendeley.com/documents/?uuid=a7720505-7643-4d9f-be0d-b3c2883d4196" ] } ], "mendeley" : { "formattedCitation" : "(Girard 1972)", "plainTextFormattedCitation" : "(Girard 1972)", "previouslyFormattedCitation" : "(Girard 1972)" }, "properties" : { "noteIndex" : 0 }, "schema" : "https://github.com/citation-style-language/schema/raw/master/csl-citation.json" }</w:instrText>
      </w:r>
      <w:r w:rsidR="00DA0FED">
        <w:fldChar w:fldCharType="separate"/>
      </w:r>
      <w:r w:rsidR="00DA0FED" w:rsidRPr="00DA0FED">
        <w:rPr>
          <w:noProof/>
        </w:rPr>
        <w:t>(Girard 1972)</w:t>
      </w:r>
      <w:r w:rsidR="00DA0FED">
        <w:fldChar w:fldCharType="end"/>
      </w:r>
      <w:r w:rsidR="00DA0FED">
        <w:t xml:space="preserve"> ou na justiça </w:t>
      </w:r>
      <w:r w:rsidR="00DA0FED">
        <w:fldChar w:fldCharType="begin" w:fldLock="1"/>
      </w:r>
      <w:r w:rsidR="003C6E1B">
        <w:instrText>ADDIN CSL_CITATION { "citationItems" : [ { "id" : "ITEM-1", "itemData" : { "author" : [ { "dropping-particle" : "", "family" : "Preto", "given" : "Jos\u00e9", "non-dropping-particle" : "", "parse-names" : false, "suffix" : "" } ], "id" : "ITEM-1", "issued" : { "date-parts" : [ [ "2010" ] ] }, "publisher" : "Argusnauta", "publisher-place" : "Lisboa", "title" : "Estado Contra Direito - flagrantes do ass\u00e9dio Liberdade de Express\u00e3o", "type" : "book" }, "uris" : [ "http://www.mendeley.com/documents/?uuid=e655a9f7-1d8a-4d7e-ab07-43a643f88f68" ] } ], "mendeley" : { "formattedCitation" : "(Preto 2010)", "plainTextFormattedCitation" : "(Preto 2010)", "previouslyFormattedCitation" : "(Preto 2010)" }, "properties" : { "noteIndex" : 0 }, "schema" : "https://github.com/citation-style-language/schema/raw/master/csl-citation.json" }</w:instrText>
      </w:r>
      <w:r w:rsidR="00DA0FED">
        <w:fldChar w:fldCharType="separate"/>
      </w:r>
      <w:r w:rsidR="00DA0FED" w:rsidRPr="00DA0FED">
        <w:rPr>
          <w:noProof/>
        </w:rPr>
        <w:t>(Preto 2010)</w:t>
      </w:r>
      <w:r w:rsidR="00DA0FED">
        <w:fldChar w:fldCharType="end"/>
      </w:r>
      <w:r w:rsidR="00DA0FED">
        <w:t xml:space="preserve">. </w:t>
      </w:r>
    </w:p>
    <w:p w:rsidR="00944F0F" w:rsidRDefault="00DA0FED">
      <w:r>
        <w:t>Reducionismo e r</w:t>
      </w:r>
      <w:r w:rsidR="00F802EC">
        <w:t>eificação de que se queixam feministas</w:t>
      </w:r>
      <w:r>
        <w:t xml:space="preserve">. De facto, </w:t>
      </w:r>
      <w:r w:rsidR="00F802EC">
        <w:t xml:space="preserve">tem cabido tradicionalmente às mulheres suportar e cuidar das consequências da violência num regime de desqualificação do seu trabalho. </w:t>
      </w:r>
      <w:r>
        <w:t>Reducionismo e r</w:t>
      </w:r>
      <w:r w:rsidR="00F802EC">
        <w:t xml:space="preserve">eificação de que se queixam também as minorias, para quem a justiça assume principalmente o aspecto </w:t>
      </w:r>
      <w:r>
        <w:t xml:space="preserve">discriminatório </w:t>
      </w:r>
      <w:r w:rsidR="00F802EC">
        <w:t>de guerra étnica, religiosa, etária, de classe, etc.</w:t>
      </w:r>
      <w:r>
        <w:t xml:space="preserve">, numa expressão, a desestabilização das identidades dominadas para as conservar em situações hierarquicamente desprotegidas. </w:t>
      </w:r>
    </w:p>
    <w:p w:rsidR="00F802EC" w:rsidRDefault="00F802EC" w:rsidP="00840658">
      <w:pPr>
        <w:jc w:val="center"/>
      </w:pPr>
      <w:r>
        <w:t>Figura 1. Os fundamentos sociais do poder</w:t>
      </w:r>
    </w:p>
    <w:p w:rsidR="00F802EC" w:rsidRDefault="00840658">
      <w:r>
        <w:rPr>
          <w:noProof/>
          <w:lang w:eastAsia="pt-PT"/>
        </w:rPr>
        <mc:AlternateContent>
          <mc:Choice Requires="wps">
            <w:drawing>
              <wp:anchor distT="0" distB="0" distL="114300" distR="114300" simplePos="0" relativeHeight="251618304" behindDoc="0" locked="0" layoutInCell="1" allowOverlap="1" wp14:anchorId="0EE61207" wp14:editId="2B4E4C91">
                <wp:simplePos x="0" y="0"/>
                <wp:positionH relativeFrom="column">
                  <wp:posOffset>1177290</wp:posOffset>
                </wp:positionH>
                <wp:positionV relativeFrom="paragraph">
                  <wp:posOffset>53974</wp:posOffset>
                </wp:positionV>
                <wp:extent cx="666750" cy="647700"/>
                <wp:effectExtent l="38100" t="38100" r="19050" b="19050"/>
                <wp:wrapNone/>
                <wp:docPr id="1" name="Conexão reta unidirecional 1"/>
                <wp:cNvGraphicFramePr/>
                <a:graphic xmlns:a="http://schemas.openxmlformats.org/drawingml/2006/main">
                  <a:graphicData uri="http://schemas.microsoft.com/office/word/2010/wordprocessingShape">
                    <wps:wsp>
                      <wps:cNvCnPr/>
                      <wps:spPr>
                        <a:xfrm flipH="1" flipV="1">
                          <a:off x="0" y="0"/>
                          <a:ext cx="6667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8863AE" id="_x0000_t32" coordsize="21600,21600" o:spt="32" o:oned="t" path="m,l21600,21600e" filled="f">
                <v:path arrowok="t" fillok="f" o:connecttype="none"/>
                <o:lock v:ext="edit" shapetype="t"/>
              </v:shapetype>
              <v:shape id="Conexão reta unidirecional 1" o:spid="_x0000_s1026" type="#_x0000_t32" style="position:absolute;margin-left:92.7pt;margin-top:4.25pt;width:52.5pt;height:51pt;flip:x 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" strokecolor="#4579b8 [3044]">
                <v:stroke endarrow="block"/>
              </v:shape>
            </w:pict>
          </mc:Fallback>
        </mc:AlternateContent>
      </w:r>
      <w:r>
        <w:rPr>
          <w:noProof/>
          <w:lang w:eastAsia="pt-PT"/>
        </w:rPr>
        <mc:AlternateContent>
          <mc:Choice Requires="wps">
            <w:drawing>
              <wp:anchor distT="0" distB="0" distL="114300" distR="114300" simplePos="0" relativeHeight="251719680" behindDoc="0" locked="0" layoutInCell="1" allowOverlap="1" wp14:anchorId="2233D136" wp14:editId="38EDCA9A">
                <wp:simplePos x="0" y="0"/>
                <wp:positionH relativeFrom="column">
                  <wp:posOffset>1019175</wp:posOffset>
                </wp:positionH>
                <wp:positionV relativeFrom="paragraph">
                  <wp:posOffset>217805</wp:posOffset>
                </wp:positionV>
                <wp:extent cx="1009650" cy="4476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009650" cy="447675"/>
                        </a:xfrm>
                        <a:prstGeom prst="rect">
                          <a:avLst/>
                        </a:prstGeom>
                        <a:solidFill>
                          <a:sysClr val="window" lastClr="FFFFFF">
                            <a:alpha val="0"/>
                          </a:sysClr>
                        </a:solidFill>
                        <a:ln w="6350">
                          <a:solidFill>
                            <a:prstClr val="black">
                              <a:alpha val="0"/>
                            </a:prstClr>
                          </a:solidFill>
                        </a:ln>
                        <a:effectLst/>
                      </wps:spPr>
                      <wps:txbx>
                        <w:txbxContent>
                          <w:p w:rsidR="00840658" w:rsidRDefault="00840658" w:rsidP="00840658">
                            <w:pPr>
                              <w:spacing w:after="0" w:line="240" w:lineRule="auto"/>
                              <w:jc w:val="center"/>
                            </w:pPr>
                            <w:r>
                              <w:t>Violências</w:t>
                            </w:r>
                          </w:p>
                          <w:p w:rsidR="00840658" w:rsidRDefault="00840658" w:rsidP="00840658">
                            <w:pPr>
                              <w:spacing w:after="0" w:line="240" w:lineRule="auto"/>
                              <w:jc w:val="center"/>
                            </w:pPr>
                            <w:r>
                              <w:t>Cuidados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33D136" id="_x0000_t202" coordsize="21600,21600" o:spt="202" path="m,l,21600r21600,l21600,xe">
                <v:stroke joinstyle="miter"/>
                <v:path gradientshapeok="t" o:connecttype="rect"/>
              </v:shapetype>
              <v:shape id="Caixa de texto 4" o:spid="_x0000_s1026" type="#_x0000_t202" style="position:absolute;margin-left:80.25pt;margin-top:17.15pt;width:79.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" fillcolor="window" strokeweight=".5pt">
                <v:fill opacity="0"/>
                <v:stroke opacity="0"/>
                <v:textbox>
                  <w:txbxContent>
                    <w:p w:rsidR="00840658" w:rsidRDefault="00840658" w:rsidP="00840658">
                      <w:pPr>
                        <w:spacing w:after="0" w:line="240" w:lineRule="auto"/>
                        <w:jc w:val="center"/>
                      </w:pPr>
                      <w:r>
                        <w:t>Violências</w:t>
                      </w:r>
                    </w:p>
                    <w:p w:rsidR="00840658" w:rsidRDefault="00840658" w:rsidP="00840658">
                      <w:pPr>
                        <w:spacing w:after="0" w:line="240" w:lineRule="auto"/>
                        <w:jc w:val="center"/>
                      </w:pPr>
                      <w:r>
                        <w:t>Cuidados</w:t>
                      </w:r>
                    </w:p>
                  </w:txbxContent>
                </v:textbox>
              </v:shape>
            </w:pict>
          </mc:Fallback>
        </mc:AlternateContent>
      </w:r>
      <w:r>
        <w:rPr>
          <w:noProof/>
          <w:lang w:eastAsia="pt-PT"/>
        </w:rPr>
        <mc:AlternateContent>
          <mc:Choice Requires="wps">
            <w:drawing>
              <wp:anchor distT="0" distB="0" distL="114300" distR="114300" simplePos="0" relativeHeight="251645952" behindDoc="0" locked="0" layoutInCell="1" allowOverlap="1" wp14:anchorId="15824273" wp14:editId="413BFAB6">
                <wp:simplePos x="0" y="0"/>
                <wp:positionH relativeFrom="column">
                  <wp:posOffset>3491230</wp:posOffset>
                </wp:positionH>
                <wp:positionV relativeFrom="paragraph">
                  <wp:posOffset>110490</wp:posOffset>
                </wp:positionV>
                <wp:extent cx="428625" cy="676275"/>
                <wp:effectExtent l="0" t="38100" r="47625" b="28575"/>
                <wp:wrapNone/>
                <wp:docPr id="2" name="Conexão reta unidirecional 2"/>
                <wp:cNvGraphicFramePr/>
                <a:graphic xmlns:a="http://schemas.openxmlformats.org/drawingml/2006/main">
                  <a:graphicData uri="http://schemas.microsoft.com/office/word/2010/wordprocessingShape">
                    <wps:wsp>
                      <wps:cNvCnPr/>
                      <wps:spPr>
                        <a:xfrm flipV="1">
                          <a:off x="0" y="0"/>
                          <a:ext cx="4286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B0DCAE" id="Conexão reta unidirecional 2" o:spid="_x0000_s1026" type="#_x0000_t32" style="position:absolute;margin-left:274.9pt;margin-top:8.7pt;width:33.75pt;height:53.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" strokecolor="#4579b8 [3044]">
                <v:stroke endarrow="block"/>
              </v:shape>
            </w:pict>
          </mc:Fallback>
        </mc:AlternateContent>
      </w:r>
      <w:r>
        <w:rPr>
          <w:noProof/>
          <w:lang w:eastAsia="pt-PT"/>
        </w:rPr>
        <mc:AlternateContent>
          <mc:Choice Requires="wps">
            <w:drawing>
              <wp:anchor distT="0" distB="0" distL="114300" distR="114300" simplePos="0" relativeHeight="251694080" behindDoc="0" locked="0" layoutInCell="1" allowOverlap="1" wp14:anchorId="350DF627" wp14:editId="73A90E6E">
                <wp:simplePos x="0" y="0"/>
                <wp:positionH relativeFrom="column">
                  <wp:posOffset>3301365</wp:posOffset>
                </wp:positionH>
                <wp:positionV relativeFrom="paragraph">
                  <wp:posOffset>177800</wp:posOffset>
                </wp:positionV>
                <wp:extent cx="1104900" cy="447675"/>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104900" cy="44767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840658" w:rsidRDefault="00840658" w:rsidP="00840658">
                            <w:pPr>
                              <w:jc w:val="center"/>
                            </w:pPr>
                            <w:r>
                              <w:t>Instabilidade das identidades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0DF627" id="Caixa de texto 3" o:spid="_x0000_s1027" type="#_x0000_t202" style="position:absolute;margin-left:259.95pt;margin-top:14pt;width:87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" fillcolor="white [3201]" strokeweight=".5pt">
                <v:fill opacity="0"/>
                <v:stroke opacity="0"/>
                <v:textbox>
                  <w:txbxContent>
                    <w:p w:rsidR="00840658" w:rsidRDefault="00840658" w:rsidP="00840658">
                      <w:pPr>
                        <w:jc w:val="center"/>
                      </w:pPr>
                      <w:r>
                        <w:t>Instabilidade das identidades</w:t>
                      </w:r>
                    </w:p>
                  </w:txbxContent>
                </v:textbox>
              </v:shape>
            </w:pict>
          </mc:Fallback>
        </mc:AlternateContent>
      </w:r>
    </w:p>
    <w:p w:rsidR="00F802EC" w:rsidRDefault="00F802EC"/>
    <w:p w:rsidR="00F802EC" w:rsidRDefault="00840658">
      <w:r>
        <w:rPr>
          <w:noProof/>
          <w:lang w:eastAsia="pt-PT"/>
        </w:rPr>
        <mc:AlternateContent>
          <mc:Choice Requires="wps">
            <w:drawing>
              <wp:anchor distT="45720" distB="45720" distL="114300" distR="114300" simplePos="0" relativeHeight="251666432" behindDoc="0" locked="0" layoutInCell="1" allowOverlap="1" wp14:anchorId="693CDB82" wp14:editId="5EBE0808">
                <wp:simplePos x="0" y="0"/>
                <wp:positionH relativeFrom="column">
                  <wp:posOffset>2063115</wp:posOffset>
                </wp:positionH>
                <wp:positionV relativeFrom="paragraph">
                  <wp:posOffset>113030</wp:posOffset>
                </wp:positionV>
                <wp:extent cx="1247775" cy="1404620"/>
                <wp:effectExtent l="0" t="0" r="28575" b="165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0658" w:rsidRDefault="00840658" w:rsidP="00840658">
                            <w:pPr>
                              <w:spacing w:after="0" w:line="240" w:lineRule="auto"/>
                              <w:jc w:val="center"/>
                            </w:pPr>
                            <w:r>
                              <w:t xml:space="preserve">Classificações </w:t>
                            </w:r>
                            <w:proofErr w:type="gramStart"/>
                            <w:r>
                              <w:t>de</w:t>
                            </w:r>
                            <w:proofErr w:type="gramEnd"/>
                          </w:p>
                          <w:p w:rsidR="00840658" w:rsidRDefault="00840658" w:rsidP="00840658">
                            <w:pPr>
                              <w:spacing w:after="0" w:line="240" w:lineRule="auto"/>
                              <w:jc w:val="center"/>
                            </w:pPr>
                            <w:r>
                              <w:t xml:space="preserve">Género </w:t>
                            </w:r>
                            <w:proofErr w:type="gramStart"/>
                            <w:r>
                              <w:t>e</w:t>
                            </w:r>
                            <w:proofErr w:type="gramEnd"/>
                          </w:p>
                          <w:p w:rsidR="00840658" w:rsidRDefault="00840658" w:rsidP="00840658">
                            <w:pPr>
                              <w:spacing w:after="0" w:line="240" w:lineRule="auto"/>
                              <w:jc w:val="center"/>
                            </w:pPr>
                            <w:r>
                              <w:t>Hierárquicas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3CDB82" id="Caixa de Texto 2" o:spid="_x0000_s1028" type="#_x0000_t202" style="position:absolute;margin-left:162.45pt;margin-top:8.9pt;width:98.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">
                <v:textbox style="mso-fit-shape-to-text:t">
                  <w:txbxContent>
                    <w:p w:rsidR="00840658" w:rsidRDefault="00840658" w:rsidP="00840658">
                      <w:pPr>
                        <w:spacing w:after="0" w:line="240" w:lineRule="auto"/>
                        <w:jc w:val="center"/>
                      </w:pPr>
                      <w:r>
                        <w:t xml:space="preserve">Classificações </w:t>
                      </w:r>
                      <w:proofErr w:type="gramStart"/>
                      <w:r>
                        <w:t>de</w:t>
                      </w:r>
                      <w:proofErr w:type="gramEnd"/>
                    </w:p>
                    <w:p w:rsidR="00840658" w:rsidRDefault="00840658" w:rsidP="00840658">
                      <w:pPr>
                        <w:spacing w:after="0" w:line="240" w:lineRule="auto"/>
                        <w:jc w:val="center"/>
                      </w:pPr>
                      <w:r>
                        <w:t xml:space="preserve">Género </w:t>
                      </w:r>
                      <w:proofErr w:type="gramStart"/>
                      <w:r>
                        <w:t>e</w:t>
                      </w:r>
                      <w:proofErr w:type="gramEnd"/>
                    </w:p>
                    <w:p w:rsidR="00840658" w:rsidRDefault="00840658" w:rsidP="00840658">
                      <w:pPr>
                        <w:spacing w:after="0" w:line="240" w:lineRule="auto"/>
                        <w:jc w:val="center"/>
                      </w:pPr>
                      <w:r>
                        <w:t>Hierárquicas</w:t>
                      </w:r>
                    </w:p>
                  </w:txbxContent>
                </v:textbox>
                <w10:wrap type="square"/>
              </v:shape>
            </w:pict>
          </mc:Fallback>
        </mc:AlternateContent>
      </w:r>
    </w:p>
    <w:p w:rsidR="00F802EC" w:rsidRDefault="00F802EC"/>
    <w:p w:rsidR="00F802EC" w:rsidRDefault="00F802EC"/>
    <w:p w:rsidR="0064756D" w:rsidRDefault="00590F97">
      <w:r>
        <w:t xml:space="preserve">Como refere </w:t>
      </w:r>
      <w:r w:rsidRPr="00590F97">
        <w:rPr>
          <w:noProof/>
        </w:rPr>
        <w:t xml:space="preserve">Bhambra </w:t>
      </w:r>
      <w:r>
        <w:fldChar w:fldCharType="begin" w:fldLock="1"/>
      </w:r>
      <w:r w:rsidR="00944F0F">
        <w:instrText>ADDIN CSL_CITATION { "citationItems" : [ { "id" : "ITEM-1", "itemData" : { "abstract" : "146-150 tipo-ideal como catedral \u00e0 medida dos princ\u00edpios dominantes e evidencias contr\u00e1rias s\u00e3o descartadas para outros ideais-tipo secudarios, especializados (teoria da conspira\u00e7\u00e3o)", "author" : [ { "dropping-particle" : "", "family" : "Bhambra", "given" : "Gurminder K.", "non-dropping-particle" : "", "parse-names" : false, "suffix" : "" } ], "id" : "ITEM-1", "issued" : { "date-parts" : [ [ "2014" ] ] }, "publisher" : "Bloomsbury", "publisher-place" : "London/NewDelhi/NY/Sydney", "title" : "Connected Sociologies", "type" : "book" }, "uris" : [ "http://www.mendeley.com/documents/?uuid=28d7c0fb-5aaa-4c92-a96c-d6f6e44365fe" ] } ], "mendeley" : { "formattedCitation" : "(Bhambra 2014)", "manualFormatting" : "(2014:146-150)", "plainTextFormattedCitation" : "(Bhambra 2014)", "previouslyFormattedCitation" : "(Bhambra 2014)" }, "properties" : { "noteIndex" : 0 }, "schema" : "https://github.com/citation-style-language/schema/raw/master/csl-citation.json" }</w:instrText>
      </w:r>
      <w:r>
        <w:fldChar w:fldCharType="separate"/>
      </w:r>
      <w:r w:rsidRPr="00590F97">
        <w:rPr>
          <w:noProof/>
        </w:rPr>
        <w:t>(2014</w:t>
      </w:r>
      <w:r>
        <w:rPr>
          <w:noProof/>
        </w:rPr>
        <w:t>:146-150</w:t>
      </w:r>
      <w:r w:rsidRPr="00590F97">
        <w:rPr>
          <w:noProof/>
        </w:rPr>
        <w:t>)</w:t>
      </w:r>
      <w:r>
        <w:fldChar w:fldCharType="end"/>
      </w:r>
      <w:r>
        <w:t xml:space="preserve">, a mobilização dos tipos ideais weberianos é o método </w:t>
      </w:r>
      <w:r w:rsidR="00DA0FED">
        <w:t xml:space="preserve">principal </w:t>
      </w:r>
      <w:r>
        <w:t xml:space="preserve">através do qual a sociologia estabeleceu um quadro </w:t>
      </w:r>
      <w:r w:rsidR="00DA0FED">
        <w:t xml:space="preserve">analítico </w:t>
      </w:r>
      <w:r>
        <w:t>redu</w:t>
      </w:r>
      <w:r w:rsidR="00DA0FED">
        <w:t>tor. Apenas aquilo</w:t>
      </w:r>
      <w:r>
        <w:t xml:space="preserve"> que se entende estrutural</w:t>
      </w:r>
      <w:r w:rsidR="00DA0FED">
        <w:t xml:space="preserve">, </w:t>
      </w:r>
      <w:proofErr w:type="gramStart"/>
      <w:r w:rsidR="00DA0FED" w:rsidRPr="00DA0FED">
        <w:rPr>
          <w:i/>
        </w:rPr>
        <w:t>a priori</w:t>
      </w:r>
      <w:proofErr w:type="gramEnd"/>
      <w:r w:rsidR="00DA0FED">
        <w:t>, é considerado</w:t>
      </w:r>
      <w:r>
        <w:t>. Todas as histórias podem caber</w:t>
      </w:r>
      <w:r w:rsidR="00DA0FED">
        <w:t xml:space="preserve"> nesse quadro</w:t>
      </w:r>
      <w:r>
        <w:t xml:space="preserve">, </w:t>
      </w:r>
      <w:r w:rsidR="00DA0FED">
        <w:t xml:space="preserve">desde </w:t>
      </w:r>
      <w:r>
        <w:t xml:space="preserve">que o ideal-tipo (precisamente por ser ideal) </w:t>
      </w:r>
      <w:r w:rsidR="00DA0FED">
        <w:t xml:space="preserve">não </w:t>
      </w:r>
      <w:r>
        <w:t>seja atingido ou contraditado.</w:t>
      </w:r>
      <w:r w:rsidR="00DA0FED">
        <w:t xml:space="preserve"> </w:t>
      </w:r>
    </w:p>
    <w:p w:rsidR="0064756D" w:rsidRDefault="0064756D">
      <w:r>
        <w:lastRenderedPageBreak/>
        <w:t xml:space="preserve">Esta constatação deve colocar a questão: será por ser assim que as ciências sociais são distintas das ciências? As ciências sociais serão, nesse sentido, um cânon de reforço ideológico das hierarquias sociais e das classificações usadas pelo poder, usando o prestígio de independência das ciências para o efeito. Se assim for, isso daria sentido </w:t>
      </w:r>
      <w:r w:rsidR="002C452E">
        <w:t xml:space="preserve">útil </w:t>
      </w:r>
      <w:r>
        <w:t xml:space="preserve">à concentração das atenções das teorias sociais no poder e, igualmente, o seu descuido das dimensões de cuidados-violência e da instabilidade das identidades, sobretudo as dominadas. Como diria Voltaire, através da personagem </w:t>
      </w:r>
      <w:proofErr w:type="spellStart"/>
      <w:r>
        <w:t>Pangloss</w:t>
      </w:r>
      <w:proofErr w:type="spellEnd"/>
      <w:r>
        <w:t xml:space="preserve"> do romance </w:t>
      </w:r>
      <w:r w:rsidRPr="0064756D">
        <w:rPr>
          <w:i/>
        </w:rPr>
        <w:t>Cândido</w:t>
      </w:r>
      <w:r>
        <w:t xml:space="preserve">, trata-se de mostrar o melhor dos mundos possível, em que instituições </w:t>
      </w:r>
      <w:r w:rsidR="002C452E">
        <w:t xml:space="preserve">mais </w:t>
      </w:r>
      <w:r>
        <w:t xml:space="preserve">prestigiadas escondem </w:t>
      </w:r>
      <w:r w:rsidR="002C452E">
        <w:t xml:space="preserve">melhor </w:t>
      </w:r>
      <w:r>
        <w:t>as violências e as instabilidades através de</w:t>
      </w:r>
      <w:r w:rsidR="002C452E">
        <w:t xml:space="preserve"> sistemas de</w:t>
      </w:r>
      <w:r>
        <w:t xml:space="preserve"> cuidados e d</w:t>
      </w:r>
      <w:r w:rsidR="002C452E">
        <w:t>a</w:t>
      </w:r>
      <w:r>
        <w:t xml:space="preserve"> </w:t>
      </w:r>
      <w:r w:rsidR="002C452E">
        <w:t xml:space="preserve">hierarquização de </w:t>
      </w:r>
      <w:r>
        <w:t>identidades</w:t>
      </w:r>
      <w:r w:rsidR="002C452E">
        <w:t>. Escolas, hospitais</w:t>
      </w:r>
      <w:r>
        <w:t xml:space="preserve">, </w:t>
      </w:r>
      <w:r w:rsidR="002C452E">
        <w:t xml:space="preserve">como outras instituições, representam hierarquizações de saber e de cuidados e escondem as violências implicadas nessas hierarquizações. Violências contra mulheres, crianças e </w:t>
      </w:r>
      <w:proofErr w:type="gramStart"/>
      <w:r w:rsidR="002C452E">
        <w:t>velhos perpetradas</w:t>
      </w:r>
      <w:proofErr w:type="gramEnd"/>
      <w:r w:rsidR="002C452E">
        <w:t xml:space="preserve"> fora e também dentro das instituições, de forma sistemática mas naturalizada e ao cuidado das próprias instituições hierarquizadas. As hierarquias </w:t>
      </w:r>
      <w:r>
        <w:t>mais elevadas</w:t>
      </w:r>
      <w:r w:rsidR="002C452E">
        <w:t xml:space="preserve"> são tomadas por redes de homens em representação de poderes misóginos e elitistas. As suas posições são altamente remuneradas e</w:t>
      </w:r>
      <w:r>
        <w:t xml:space="preserve"> são representadas, até para sua própria defesa e prestígio, como inexpugnáveis e </w:t>
      </w:r>
      <w:proofErr w:type="spellStart"/>
      <w:r>
        <w:t>super</w:t>
      </w:r>
      <w:proofErr w:type="spellEnd"/>
      <w:r>
        <w:t xml:space="preserve"> agradáveis. </w:t>
      </w:r>
      <w:r w:rsidR="002C452E">
        <w:t>São i</w:t>
      </w:r>
      <w:r>
        <w:t xml:space="preserve">deais nos dois sentidos do termo: </w:t>
      </w:r>
      <w:r w:rsidR="002C452E">
        <w:t xml:space="preserve">são </w:t>
      </w:r>
      <w:r>
        <w:t xml:space="preserve">imaginárias e </w:t>
      </w:r>
      <w:r w:rsidR="002C452E">
        <w:t xml:space="preserve">são consideradas socialmente como </w:t>
      </w:r>
      <w:r>
        <w:t>as melhores, por corresponderem ao maior poder possível.</w:t>
      </w:r>
    </w:p>
    <w:p w:rsidR="002C452E" w:rsidRDefault="002C452E">
      <w:r>
        <w:t xml:space="preserve">As ciências trabalham em quadros de investigação cujos financiamentos dependem do poder. Mas dependem também das necessidades de cuidados (por exemplo, das doenças emergentes) e das instabilidades identitárias (por exemplo, qual é o sentido de haver uma Terra no meio do universo?). </w:t>
      </w:r>
      <w:r w:rsidR="009A29EC">
        <w:t xml:space="preserve">A sua legitimidade não decorre, sem mediações, tão directamente como as ciências sociais das relações de poder. A actualização das ciências sociais, facilitada actualmente pela crescente instabilidade dos poderes globais, poderia gizar-se em aliança com as ciências, isto é, em colaboração com elas para reforçar os aspectos de legitimidade mais distantes do poder. Nomeadamente denunciando o carácter misógino e elitista das actuais configurações de poder, incluindo as configurações ideal-típicas que as ciências sociais fazem geralmente do poder, naturalizando as classificações de género e das desigualdades sociais oficialmente usadas. </w:t>
      </w:r>
    </w:p>
    <w:p w:rsidR="003C6E1B" w:rsidRDefault="00590F97">
      <w:r>
        <w:t xml:space="preserve">Na prática, </w:t>
      </w:r>
      <w:r w:rsidR="0014251B">
        <w:t xml:space="preserve">o valor das teorias em ciências sociais </w:t>
      </w:r>
      <w:r>
        <w:t xml:space="preserve">depende da autoridade granjeada por cada autor, por um lado, e pelo respeito que manifeste pelo cânon, por exemplo, pelas dimensões clássicas de análise. </w:t>
      </w:r>
      <w:r w:rsidR="0014251B">
        <w:t>Anthony</w:t>
      </w:r>
      <w:r>
        <w:t xml:space="preserve"> </w:t>
      </w:r>
      <w:proofErr w:type="spellStart"/>
      <w:r>
        <w:t>Giddens</w:t>
      </w:r>
      <w:proofErr w:type="spellEnd"/>
      <w:r>
        <w:t xml:space="preserve"> </w:t>
      </w:r>
      <w:r>
        <w:fldChar w:fldCharType="begin" w:fldLock="1"/>
      </w:r>
      <w:r>
        <w:instrText>ADDIN CSL_CITATION { "citationItems" : [ { "id" : "ITEM-1", "itemData" : { "author" : [ { "dropping-particle" : "", "family" : "Giddens", "given" : "Anthony", "non-dropping-particle" : "", "parse-names" : false, "suffix" : "" } ], "container-title" : "Sociologia Problemas e Pr\u00e1ticas", "id" : "ITEM-1", "issue" : "4", "issued" : { "date-parts" : [ [ "1988" ] ] }, "title" : "Dimens\u00f5es da modernidade", "type" : "article-journal" }, "suppress-author" : 1, "uris" : [ "http://www.mendeley.com/documents/?uuid=0211df7e-1560-4186-91d9-02669ab349e9" ] } ], "mendeley" : { "formattedCitation" : "(1988)", "plainTextFormattedCitation" : "(1988)", "previouslyFormattedCitation" : "(1988)" }, "properties" : { "noteIndex" : 0 }, "schema" : "https://github.com/citation-style-language/schema/raw/master/csl-citation.json" }</w:instrText>
      </w:r>
      <w:r>
        <w:fldChar w:fldCharType="separate"/>
      </w:r>
      <w:r w:rsidRPr="00590F97">
        <w:rPr>
          <w:noProof/>
        </w:rPr>
        <w:t>(1988)</w:t>
      </w:r>
      <w:r>
        <w:fldChar w:fldCharType="end"/>
      </w:r>
      <w:r>
        <w:t xml:space="preserve"> elaborou uma crítica ao quadro tradicional de análise estrutural-funcionalista</w:t>
      </w:r>
      <w:r w:rsidR="0014251B">
        <w:t xml:space="preserve"> e às dimensões ainda actualmente dominantes: </w:t>
      </w:r>
      <w:r>
        <w:t xml:space="preserve">a política, a economia, a cultura e a sociedade. Actualizou, como disse, esse quadro analítico em função </w:t>
      </w:r>
      <w:r w:rsidR="0014251B">
        <w:t xml:space="preserve">da fase histórica do capitalismo avançado. Sistematizou </w:t>
      </w:r>
      <w:r>
        <w:t xml:space="preserve">os conflitos sociais </w:t>
      </w:r>
      <w:r w:rsidR="0014251B">
        <w:t>do</w:t>
      </w:r>
      <w:r>
        <w:t xml:space="preserve"> tempo em que escreveu. Com base na</w:t>
      </w:r>
      <w:r w:rsidR="0014251B">
        <w:t xml:space="preserve"> </w:t>
      </w:r>
      <w:r w:rsidR="003C6E1B">
        <w:t>evidência</w:t>
      </w:r>
      <w:r w:rsidR="0014251B">
        <w:t xml:space="preserve"> da constituição social dos </w:t>
      </w:r>
      <w:r>
        <w:t>movimentos sociais de então, o dos trabalhadores, o ecológico, o pacifista, o dos direitos humanos (</w:t>
      </w:r>
      <w:r w:rsidR="0014251B">
        <w:t xml:space="preserve">o autor inglês confessou em nota de pé de página </w:t>
      </w:r>
      <w:r>
        <w:t xml:space="preserve">não </w:t>
      </w:r>
      <w:r w:rsidR="0014251B">
        <w:t xml:space="preserve">ter </w:t>
      </w:r>
      <w:r>
        <w:t>s</w:t>
      </w:r>
      <w:r w:rsidR="0014251B">
        <w:t xml:space="preserve">abido </w:t>
      </w:r>
      <w:r>
        <w:t>o que faz</w:t>
      </w:r>
      <w:r w:rsidR="0014251B">
        <w:t>er com o movimento das mulheres</w:t>
      </w:r>
      <w:r>
        <w:t>), organizou um outro quadro cartesiano</w:t>
      </w:r>
      <w:r w:rsidR="0014251B">
        <w:t xml:space="preserve"> de referência. T</w:t>
      </w:r>
      <w:r>
        <w:t>om</w:t>
      </w:r>
      <w:r w:rsidR="0014251B">
        <w:t>ou</w:t>
      </w:r>
      <w:r>
        <w:t xml:space="preserve"> para dimensões analíticas o capitalismo, o industrialismo, a guerra e o controlo social. Simplesmente não foi seguido</w:t>
      </w:r>
      <w:r w:rsidR="0014251B">
        <w:t>. Essa crítica não fundou nenhuma linha de investigação duradoira ou influente, apesar da influência do autor ser grande. E</w:t>
      </w:r>
      <w:r>
        <w:t>le próprio ter</w:t>
      </w:r>
      <w:r w:rsidR="0014251B">
        <w:t>á</w:t>
      </w:r>
      <w:r>
        <w:t xml:space="preserve"> deixado </w:t>
      </w:r>
      <w:r w:rsidR="0014251B">
        <w:t xml:space="preserve">cair essa crítica. Por exemplo, </w:t>
      </w:r>
      <w:r w:rsidR="003C6E1B">
        <w:t xml:space="preserve">a violência – seja sob a forma de guerra ou de violação de direitos humanos na ordem interna dos países ocidentais – continua a não ser </w:t>
      </w:r>
      <w:r>
        <w:t>referi</w:t>
      </w:r>
      <w:r w:rsidR="003C6E1B">
        <w:t>da em ciências sociais</w:t>
      </w:r>
      <w:r>
        <w:t xml:space="preserve"> </w:t>
      </w:r>
      <w:r>
        <w:fldChar w:fldCharType="begin" w:fldLock="1"/>
      </w:r>
      <w:r w:rsidR="003C6E1B">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"suppress-author" : 1, "uris" : [ "http://www.mendeley.com/documents/?uuid=f7a79246-79a4-45f6-b2df-5760b2f07c40" ] } ], "mendeley" : { "formattedCitation" : "(2005)", "manualFormatting" : "(Wieviorka 2005:68;", "plainTextFormattedCitation" : "(2005)", "previouslyFormattedCitation" : "(2005)" }, "properties" : { "noteIndex" : 0 }, "schema" : "https://github.com/citation-style-language/schema/raw/master/csl-citation.json" }</w:instrText>
      </w:r>
      <w:r>
        <w:fldChar w:fldCharType="separate"/>
      </w:r>
      <w:r w:rsidRPr="00590F97">
        <w:rPr>
          <w:noProof/>
        </w:rPr>
        <w:t>(</w:t>
      </w:r>
      <w:r w:rsidR="003C6E1B">
        <w:rPr>
          <w:noProof/>
        </w:rPr>
        <w:t xml:space="preserve">Wieviorka </w:t>
      </w:r>
      <w:r w:rsidRPr="00590F97">
        <w:rPr>
          <w:noProof/>
        </w:rPr>
        <w:t>2005</w:t>
      </w:r>
      <w:r>
        <w:rPr>
          <w:noProof/>
        </w:rPr>
        <w:t>:68</w:t>
      </w:r>
      <w:r w:rsidR="003C6E1B">
        <w:rPr>
          <w:noProof/>
        </w:rPr>
        <w:t>;</w:t>
      </w:r>
      <w:r>
        <w:fldChar w:fldCharType="end"/>
      </w:r>
      <w:r>
        <w:fldChar w:fldCharType="begin" w:fldLock="1"/>
      </w:r>
      <w:r w:rsidR="003C6E1B">
        <w:instrText>ADDIN CSL_CITATION { "citationItems" : [ { "id" : "ITEM-1", "itemData" : { "abstract" : "17 falta de violencia na TS", "author" : [ { "dropping-particle" : "", "family" : "Male\u0161evi\u0107", "given" : "Sini\u0161a", "non-dropping-particle" : "", "parse-names" : false, "suffix" : "" } ], "id" : "ITEM-1", "issued" : { "date-parts" : [ [ "2010" ] ] }, "publisher" : "Cambridge University Press", "publisher-place" : "Cambridge", "title" : "The Sociology of War and Violence", "type" : "book" }, "uris" : [ "http://www.mendeley.com/documents/?uuid=dfd358a9-a9a6-4f2e-8daa-af66850bf367" ] } ], "mendeley" : { "formattedCitation" : "(Male\u0161evi\u0107 2010)", "manualFormatting" : " Male\u0161evi\u0107 2010:15)", "plainTextFormattedCitation" : "(Male\u0161evi\u0107 2010)", "previouslyFormattedCitation" : "(Male\u0161evi\u0107 2010)" }, "properties" : { "noteIndex" : 0 }, "schema" : "https://github.com/citation-style-language/schema/raw/master/csl-citation.json" }</w:instrText>
      </w:r>
      <w:r>
        <w:fldChar w:fldCharType="separate"/>
      </w:r>
      <w:r w:rsidR="003C6E1B" w:rsidRPr="003C6E1B">
        <w:rPr>
          <w:noProof/>
        </w:rPr>
        <w:t xml:space="preserve"> </w:t>
      </w:r>
      <w:r w:rsidR="003C6E1B" w:rsidRPr="00590F97">
        <w:rPr>
          <w:noProof/>
        </w:rPr>
        <w:t xml:space="preserve">Malešević </w:t>
      </w:r>
      <w:r w:rsidRPr="00590F97">
        <w:rPr>
          <w:noProof/>
        </w:rPr>
        <w:lastRenderedPageBreak/>
        <w:t>2010</w:t>
      </w:r>
      <w:r>
        <w:rPr>
          <w:noProof/>
        </w:rPr>
        <w:t>:15</w:t>
      </w:r>
      <w:r w:rsidRPr="00590F97">
        <w:rPr>
          <w:noProof/>
        </w:rPr>
        <w:t>)</w:t>
      </w:r>
      <w:r>
        <w:fldChar w:fldCharType="end"/>
      </w:r>
      <w:r w:rsidR="003C6E1B">
        <w:t xml:space="preserve">. A modernidade do holocausto continua por explicar </w:t>
      </w:r>
      <w:r w:rsidR="003C6E1B">
        <w:fldChar w:fldCharType="begin" w:fldLock="1"/>
      </w:r>
      <w:r w:rsidR="0007290E">
        <w:instrText>ADDIN CSL_CITATION { "citationItems" : [ { "id" : "ITEM-1", "itemData" : { "author" : [ { "dropping-particle" : "", "family" : "Bauman", "given" : "Zygmunt", "non-dropping-particle" : "", "parse-names" : false, "suffix" : "" } ], "edition" : "1\u00aa edi\u00e7\u00e3o ", "id" : "ITEM-1", "issued" : { "date-parts" : [ [ "1997" ] ] }, "publisher" : "Sequitur", "publisher-place" : "Barcelona", "title" : "Modernidad y Holocausto", "type" : "book" }, "uris" : [ "http://www.mendeley.com/documents/?uuid=9313034a-d446-4a7f-bc2e-36a0a3a068c1" ] }, { "id" : "ITEM-2", "itemData" : { "author" : [ { "dropping-particle" : "", "family" : "Joas", "given" : "Hans", "non-dropping-particle" : "", "parse-names" : false, "suffix" : "" } ], "id" : "ITEM-2", "issued" : { "date-parts" : [ [ "2005" ] ] }, "publisher" : "Paido", "publisher-place" : "Barcelona", "title" : "Guerra y Modernidad - estudios sobre la historia de la violencia en el siglo XX", "type" : "book" }, "uris" : [ "http://www.mendeley.com/documents/?uuid=b4d9a0fb-abca-45d4-b561-964d333e05f9" ] } ], "mendeley" : { "formattedCitation" : "(Bauman 1997; Joas 2005)", "plainTextFormattedCitation" : "(Bauman 1997; Joas 2005)", "previouslyFormattedCitation" : "(Bauman 1997; Joas 2005)" }, "properties" : { "noteIndex" : 0 }, "schema" : "https://github.com/citation-style-language/schema/raw/master/csl-citation.json" }</w:instrText>
      </w:r>
      <w:r w:rsidR="003C6E1B">
        <w:fldChar w:fldCharType="separate"/>
      </w:r>
      <w:r w:rsidR="003C6E1B" w:rsidRPr="003C6E1B">
        <w:rPr>
          <w:noProof/>
        </w:rPr>
        <w:t>(Bauman 1997; Joas 2005)</w:t>
      </w:r>
      <w:r w:rsidR="003C6E1B">
        <w:fldChar w:fldCharType="end"/>
      </w:r>
      <w:r w:rsidR="003C6E1B">
        <w:t>. Os conflitos do Médio Oriente continuam a ser um mistério e alvos de todas as intervenções desastradas e nefastas que são ao mesmo evidentes e intratáveis racionalmente.</w:t>
      </w:r>
    </w:p>
    <w:p w:rsidR="00C8192B" w:rsidRDefault="00C8192B">
      <w:r>
        <w:t xml:space="preserve">Na sociedade ideal típica, a violência </w:t>
      </w:r>
      <w:r w:rsidR="003C6E1B">
        <w:t>é uma excepção. U</w:t>
      </w:r>
      <w:r>
        <w:t>ma reminiscência do passado instintivo e desregulado,</w:t>
      </w:r>
      <w:r w:rsidR="003C6E1B">
        <w:t xml:space="preserve"> étnico. U</w:t>
      </w:r>
      <w:r>
        <w:t xml:space="preserve">m fenómeno anti-social, </w:t>
      </w:r>
      <w:r w:rsidR="003C6E1B">
        <w:t xml:space="preserve">extra-social. A cargo </w:t>
      </w:r>
      <w:r>
        <w:t>do Estado e da política, de que a sociedade e a sociologia estão dispensadas de pensar</w:t>
      </w:r>
      <w:r w:rsidR="003C6E1B">
        <w:t>. E</w:t>
      </w:r>
      <w:r>
        <w:t>mbora não estejam dispensadas de lhe sofrer as consequências.</w:t>
      </w:r>
      <w:r w:rsidR="003C6E1B">
        <w:t xml:space="preserve"> Os Estados enviam os mancebos para a guerra, destruindo-lhes na recruta qualquer consciência de que mais do que a morte arriscam a vida de terceiros e dos próprios. E abandonam os cuidados dos veteranos de guerra às suas famílias, sabendo por experiência própria que ninguém se queixa, a não ser em surdina, isto é, nos lugares hierárquicos inferiores, de onde raramente as vozes chegam aos lugares de poder. </w:t>
      </w:r>
      <w:r w:rsidR="0007290E">
        <w:t xml:space="preserve">A sociologia não se atreve a mexer nesta ferida </w:t>
      </w:r>
      <w:r w:rsidR="0007290E">
        <w:fldChar w:fldCharType="begin" w:fldLock="1"/>
      </w:r>
      <w:r w:rsidR="00F660F0">
        <w:instrText>ADDIN CSL_CITATION { "citationItems" : [ { "id" : "ITEM-1", "itemData" : { "abstract" : "The recent interest in the sociology of violence has arisen at the same time that western societies are being urged to consider the profound social crisis provoked by global financial turmoil. Social changes demand the evo- lution of sociological practices. The analysis herein proposed, based on the studies of M. Wieviorka, La Violence (2005), and of R. Collins, Violence: A Micro-sociological Theory (2008), concludes that violence is subject to sociological treatments cen- tered on the aggressors, on the struggles for power and on male gender. There is a lack of connection between prac- tical proposals for violence prevention and the sociol- ogy of violence. It is accepted that violence as a subject of study has the potential, as well as the theoretical and social centrality, to promote the debate necessary to bring social theory up to date. This process is more likely to oc- cur in periods of social transformation, when sociology is open to considering subjects that are still taboo in its study of violence, such as the female gender and the state. The rise of the sociology of violence confronts us with a dilemma. We can either collaborate with the construc- tion of a sub discipline that reproduces the limitations and taboos of current social theory, or we can use the fact that violence has become a \u201chot topic\u201d as an opportunity to open sociology to themes that are taboo in social the- ory (such as the vital and harmonious character of the biological aspects of social mechanisms or the normative aspects of social settings).", "author" : [ { "dropping-particle" : "", "family" : "Dores", "given" : "Ant\u00f3nio Pedro", "non-dropping-particle" : "", "parse-names" : false, "suffix" : "" } ], "container-title" : "Pensamiento Americano", "id" : "ITEM-1", "issue" : "13", "issued" : { "date-parts" : [ [ "2014" ] ] }, "page" : "144-162", "title" : "Violence in society", "type" : "article-journal", "volume" : "7" }, "uris" : [ "http://www.mendeley.com/documents/?uuid=41caf4d9-8660-45fa-b8bc-fba4de27af6e" ] } ], "mendeley" : { "formattedCitation" : "(Dores 2014)", "plainTextFormattedCitation" : "(Dores 2014)", "previouslyFormattedCitation" : "(Dores 2014)" }, "properties" : { "noteIndex" : 0 }, "schema" : "https://github.com/citation-style-language/schema/raw/master/csl-citation.json" }</w:instrText>
      </w:r>
      <w:r w:rsidR="0007290E">
        <w:fldChar w:fldCharType="separate"/>
      </w:r>
      <w:r w:rsidR="0007290E" w:rsidRPr="0007290E">
        <w:rPr>
          <w:noProof/>
        </w:rPr>
        <w:t>(Dores 2014)</w:t>
      </w:r>
      <w:r w:rsidR="0007290E">
        <w:fldChar w:fldCharType="end"/>
      </w:r>
      <w:r w:rsidR="0007290E">
        <w:t xml:space="preserve">. </w:t>
      </w:r>
    </w:p>
    <w:p w:rsidR="004E0A21" w:rsidRDefault="00C8192B">
      <w:r>
        <w:t xml:space="preserve">Não </w:t>
      </w:r>
      <w:r w:rsidR="0007290E">
        <w:t>é</w:t>
      </w:r>
      <w:r>
        <w:t xml:space="preserve"> só a violência </w:t>
      </w:r>
      <w:r w:rsidR="0007290E">
        <w:t xml:space="preserve">que é </w:t>
      </w:r>
      <w:r>
        <w:t xml:space="preserve">excluída da sociedade sociológica. </w:t>
      </w:r>
      <w:proofErr w:type="spellStart"/>
      <w:r>
        <w:t>Latour</w:t>
      </w:r>
      <w:proofErr w:type="spellEnd"/>
      <w:r>
        <w:t xml:space="preserve"> </w:t>
      </w:r>
      <w:r>
        <w:fldChar w:fldCharType="begin" w:fldLock="1"/>
      </w:r>
      <w:r>
        <w:instrText>ADDIN CSL_CITATION { "citationItems" : [ { "id" : "ITEM-1", "itemData" : { "author" : [ { "dropping-particle" : "", "family" : "Latour", "given" : "Bruno", "non-dropping-particle" : "", "parse-names" : false, "suffix" : "" } ], "id" : "ITEM-1", "issued" : { "date-parts" : [ [ "2007" ] ] }, "publisher" : "La D\u00e9couverte", "publisher-place" : "Paris", "title" : "Changer de soci\u00e9t\u00e9, refaire de la sociologie", "type" : "book" }, "uris" : [ "http://www.mendeley.com/documents/?uuid=5ad25f55-0613-439d-9759-509962fa9726" ] } ], "mendeley" : { "formattedCitation" : "(Latour 2007)", "plainTextFormattedCitation" : "(Latour 2007)", "previouslyFormattedCitation" : "(Latour 2007)" }, "properties" : { "noteIndex" : 0 }, "schema" : "https://github.com/citation-style-language/schema/raw/master/csl-citation.json" }</w:instrText>
      </w:r>
      <w:r>
        <w:fldChar w:fldCharType="separate"/>
      </w:r>
      <w:r w:rsidRPr="00C8192B">
        <w:rPr>
          <w:noProof/>
        </w:rPr>
        <w:t>(Latour 2007)</w:t>
      </w:r>
      <w:r>
        <w:fldChar w:fldCharType="end"/>
      </w:r>
      <w:r>
        <w:t xml:space="preserve"> reparou como a tecnologia forma um </w:t>
      </w:r>
      <w:r w:rsidR="0007290E">
        <w:t>m</w:t>
      </w:r>
      <w:r>
        <w:t xml:space="preserve">undo à parte perante o qual a sociologia simplesmente </w:t>
      </w:r>
      <w:proofErr w:type="gramStart"/>
      <w:r>
        <w:t>p</w:t>
      </w:r>
      <w:r w:rsidR="0007290E">
        <w:t>a</w:t>
      </w:r>
      <w:r>
        <w:t>ra</w:t>
      </w:r>
      <w:proofErr w:type="gramEnd"/>
      <w:r>
        <w:t xml:space="preserve">. Nenhuma descrição, nenhuma referência, nenhuma avaliação, nenhuma ponderação. </w:t>
      </w:r>
      <w:r w:rsidR="0007290E">
        <w:t>Para os sociólogos, a tecnologia com que as pessoas e as instituições lidam todos os dias é transparente</w:t>
      </w:r>
      <w:r w:rsidR="00D60509">
        <w:t xml:space="preserve"> (a pretexto de ser opaca a não especialistas)</w:t>
      </w:r>
      <w:r w:rsidR="0007290E">
        <w:t>. Não faz parte do ideal tipo e, po</w:t>
      </w:r>
      <w:r w:rsidR="00D60509">
        <w:t>r isso, é simplesmente ignorada. C</w:t>
      </w:r>
      <w:r w:rsidR="0007290E">
        <w:t xml:space="preserve">omo tudo o que não esteja teoricamente previsto recuperar como informação pertinente e aceitável. A tecnologia, a tecno-esfera, é </w:t>
      </w:r>
      <w:r w:rsidR="00D60509">
        <w:t xml:space="preserve">representada como irrelevante ou de efeitos constantes face </w:t>
      </w:r>
      <w:r>
        <w:t xml:space="preserve">ao mundo social. </w:t>
      </w:r>
      <w:r w:rsidR="00D60509">
        <w:t xml:space="preserve">Foucault </w:t>
      </w:r>
      <w:r w:rsidR="00D60509">
        <w:fldChar w:fldCharType="begin" w:fldLock="1"/>
      </w:r>
      <w:r w:rsidR="0001563E">
        <w:instrText>ADDIN CSL_CITATION { "citationItems" : [ { "id" : "ITEM-1", "itemData" : { "author" : [ { "dropping-particle" : "", "family" : "Foucault", "given" : "Michel", "non-dropping-particle" : "", "parse-names" : false, "suffix" : "" } ], "id" : "ITEM-1", "issued" : { "date-parts" : [ [ "1975" ] ] }, "publisher" : "Gallimard", "publisher-place" : "Paris", "title" : "Surveiller et punir : naissance de la prison", "type" : "book" }, "suppress-author" : 1, "uris" : [ "http://www.mendeley.com/documents/?uuid=69149ba9-ce55-4964-a282-95ca95933d22" ] } ], "mendeley" : { "formattedCitation" : "(1975)", "plainTextFormattedCitation" : "(1975)", "previouslyFormattedCitation" : "(1975)" }, "properties" : { "noteIndex" : 0 }, "schema" : "https://github.com/citation-style-language/schema/raw/master/csl-citation.json" }</w:instrText>
      </w:r>
      <w:r w:rsidR="00D60509">
        <w:fldChar w:fldCharType="separate"/>
      </w:r>
      <w:r w:rsidR="00D60509" w:rsidRPr="00D60509">
        <w:rPr>
          <w:noProof/>
        </w:rPr>
        <w:t>(1975)</w:t>
      </w:r>
      <w:r w:rsidR="00D60509">
        <w:fldChar w:fldCharType="end"/>
      </w:r>
      <w:r w:rsidR="00D60509">
        <w:t xml:space="preserve"> descreve as prisões como tecnologias de poder: um modo de separar o poder da vida social legítima. As prisões são um mundo à parte, como se costuma dizer. Mundo bastante mais frequentado por minorias sociais do que por membros das classes médias e dominantes. </w:t>
      </w:r>
      <w:r w:rsidRPr="00C8192B">
        <w:rPr>
          <w:noProof/>
        </w:rPr>
        <w:t xml:space="preserve">Bhambra </w:t>
      </w:r>
      <w:r>
        <w:fldChar w:fldCharType="begin" w:fldLock="1"/>
      </w:r>
      <w:r w:rsidR="00944F0F">
        <w:instrText>ADDIN CSL_CITATION { "citationItems" : [ { "id" : "ITEM-1", "itemData" : { "abstract" : "146-150 tipo-ideal como catedral \u00e0 medida dos princ\u00edpios dominantes e evidencias contr\u00e1rias s\u00e3o descartadas para outros ideais-tipo secudarios, especializados (teoria da conspira\u00e7\u00e3o)", "author" : [ { "dropping-particle" : "", "family" : "Bhambra", "given" : "Gurminder K.", "non-dropping-particle" : "", "parse-names" : false, "suffix" : "" } ], "id" : "ITEM-1", "issued" : { "date-parts" : [ [ "2014" ] ] }, "publisher" : "Bloomsbury", "publisher-place" : "London/NewDelhi/NY/Sydney", "title" : "Connected Sociologies", "type" : "book" }, "uris" : [ "http://www.mendeley.com/documents/?uuid=28d7c0fb-5aaa-4c92-a96c-d6f6e44365fe" ] } ], "mendeley" : { "formattedCitation" : "(Bhambra 2014)", "manualFormatting" : "(2014)", "plainTextFormattedCitation" : "(Bhambra 2014)", "previouslyFormattedCitation" : "(Bhambra 2014)" }, "properties" : { "noteIndex" : 0 }, "schema" : "https://github.com/citation-style-language/schema/raw/master/csl-citation.json" }</w:instrText>
      </w:r>
      <w:r>
        <w:fldChar w:fldCharType="separate"/>
      </w:r>
      <w:r w:rsidRPr="00C8192B">
        <w:rPr>
          <w:noProof/>
        </w:rPr>
        <w:t>(2014)</w:t>
      </w:r>
      <w:r>
        <w:fldChar w:fldCharType="end"/>
      </w:r>
      <w:r>
        <w:t xml:space="preserve"> nota como a existência </w:t>
      </w:r>
      <w:r w:rsidR="00F660F0">
        <w:t xml:space="preserve">de colónias na constituição das sociedades dominantes e </w:t>
      </w:r>
      <w:r>
        <w:t xml:space="preserve">de práticas coloniais </w:t>
      </w:r>
      <w:r w:rsidR="00F660F0">
        <w:t xml:space="preserve">actuais </w:t>
      </w:r>
      <w:r w:rsidR="00D60509">
        <w:t>são</w:t>
      </w:r>
      <w:r>
        <w:t xml:space="preserve"> simplesmente ignorad</w:t>
      </w:r>
      <w:r w:rsidR="00F660F0">
        <w:t>a</w:t>
      </w:r>
      <w:r w:rsidR="00D60509">
        <w:t>s</w:t>
      </w:r>
      <w:r>
        <w:t xml:space="preserve"> pelas teorias sociais e pelos sociológicos. </w:t>
      </w:r>
      <w:proofErr w:type="spellStart"/>
      <w:r w:rsidR="00F660F0">
        <w:t>Holloway</w:t>
      </w:r>
      <w:proofErr w:type="spellEnd"/>
      <w:r w:rsidR="00F660F0">
        <w:t xml:space="preserve"> </w:t>
      </w:r>
      <w:r w:rsidR="00F660F0">
        <w:fldChar w:fldCharType="begin" w:fldLock="1"/>
      </w:r>
      <w:r w:rsidR="00F660F0">
        <w:instrText>ADDIN CSL_CITATION { "citationItems" : [ { "id" : "ITEM-1", "itemData" : { "author" : [ { "dropping-particle" : "", "family" : "Holloway", "given" : "John", "non-dropping-particle" : "", "parse-names" : false, "suffix" : "" } ], "id" : "ITEM-1", "issued" : { "date-parts" : [ [ "2003" ] ] }, "publisher" : "Pluto Press", "publisher-place" : "London", "title" : "Change the World Without Taking Power - The Meaning of Revolution Today", "type" : "book" }, "suppress-author" : 1, "uris" : [ "http://www.mendeley.com/documents/?uuid=6c4ad462-1a5b-494c-a1a7-79101c0916a6" ] } ], "mendeley" : { "formattedCitation" : "(2003)", "plainTextFormattedCitation" : "(2003)", "previouslyFormattedCitation" : "(2003)" }, "properties" : { "noteIndex" : 0 }, "schema" : "https://github.com/citation-style-language/schema/raw/master/csl-citation.json" }</w:instrText>
      </w:r>
      <w:r w:rsidR="00F660F0">
        <w:fldChar w:fldCharType="separate"/>
      </w:r>
      <w:r w:rsidR="00F660F0" w:rsidRPr="00F660F0">
        <w:rPr>
          <w:noProof/>
        </w:rPr>
        <w:t>(2003)</w:t>
      </w:r>
      <w:r w:rsidR="00F660F0">
        <w:fldChar w:fldCharType="end"/>
      </w:r>
      <w:r w:rsidR="00F660F0">
        <w:t xml:space="preserve"> refere a repugnância da teoria social pelos estados de alma, pelos gritos de desesperança, não apenas dos desvalidos mas dos próprios sociólogos em luta para dar conta das realidades escamoteadas</w:t>
      </w:r>
      <w:r w:rsidR="00D60509">
        <w:t xml:space="preserve"> pelo próprio emaranhado das lutas sociológicas pela apresentação de evidências sobre a repressão, os abusos de poder, a exploração, o racismo, o sexismo, etc.</w:t>
      </w:r>
      <w:r w:rsidR="00F660F0">
        <w:t xml:space="preserve">. Alberoni </w:t>
      </w:r>
      <w:r w:rsidR="00F660F0">
        <w:fldChar w:fldCharType="begin" w:fldLock="1"/>
      </w:r>
      <w:r w:rsidR="00F660F0">
        <w:instrText>ADDIN CSL_CITATION { "citationItems" : [ { "id" : "ITEM-1", "itemData" : { "author" : [ { "dropping-particle" : "", "family" : "Alberoni", "given" : "Francesco", "non-dropping-particle" : "", "parse-names" : false, "suffix" : "" } ], "id" : "ITEM-1", "issued" : { "date-parts" : [ [ "1989" ] ] }, "publisher" : "Bertrand", "publisher-place" : "Lisboa", "title" : "G\u00e9nese", "type" : "book" }, "suppress-author" : 1, "uris" : [ "http://www.mendeley.com/documents/?uuid=2784f5d5-a1b0-4fda-88d7-8ef612c05294" ] } ], "mendeley" : { "formattedCitation" : "(1989)", "plainTextFormattedCitation" : "(1989)", "previouslyFormattedCitation" : "(1989)" }, "properties" : { "noteIndex" : 0 }, "schema" : "https://github.com/citation-style-language/schema/raw/master/csl-citation.json" }</w:instrText>
      </w:r>
      <w:r w:rsidR="00F660F0">
        <w:fldChar w:fldCharType="separate"/>
      </w:r>
      <w:r w:rsidR="00F660F0" w:rsidRPr="00F660F0">
        <w:rPr>
          <w:noProof/>
        </w:rPr>
        <w:t>(1989)</w:t>
      </w:r>
      <w:r w:rsidR="00F660F0">
        <w:fldChar w:fldCharType="end"/>
      </w:r>
      <w:r w:rsidR="00F660F0">
        <w:t xml:space="preserve">, </w:t>
      </w:r>
      <w:r w:rsidR="00D60509">
        <w:t>noutro</w:t>
      </w:r>
      <w:r w:rsidR="00F660F0">
        <w:t xml:space="preserve"> sentido</w:t>
      </w:r>
      <w:r w:rsidR="00D60509">
        <w:t xml:space="preserve"> mas elaborando sobre a importância de incluir o estudo de estados de alma nas análises sociais</w:t>
      </w:r>
      <w:r w:rsidR="00F660F0">
        <w:t>, referiu o estado de espírito nascente com um estado pós-depressivo, ao mesmo tempo pessoal e social, comu</w:t>
      </w:r>
      <w:r w:rsidR="00D60509">
        <w:t>m</w:t>
      </w:r>
      <w:r w:rsidR="00F660F0">
        <w:t>mente experimentado por todos os seres humanos e que, em determinadas conjunturas, se torna epid</w:t>
      </w:r>
      <w:r w:rsidR="00D60509">
        <w:t>émico,</w:t>
      </w:r>
      <w:r w:rsidR="00F660F0">
        <w:t xml:space="preserve"> </w:t>
      </w:r>
      <w:r w:rsidR="00D60509">
        <w:t xml:space="preserve">socialmente </w:t>
      </w:r>
      <w:r w:rsidR="00F660F0">
        <w:t>criativ</w:t>
      </w:r>
      <w:r w:rsidR="00D60509">
        <w:t>o</w:t>
      </w:r>
      <w:r w:rsidR="00F660F0">
        <w:t xml:space="preserve">, génese de movimentos sociais e </w:t>
      </w:r>
      <w:r w:rsidR="00D60509">
        <w:t>de</w:t>
      </w:r>
      <w:r w:rsidR="00F660F0">
        <w:t xml:space="preserve"> </w:t>
      </w:r>
      <w:r w:rsidR="00D60509">
        <w:t>transformações sociais</w:t>
      </w:r>
      <w:r w:rsidR="00F660F0">
        <w:t xml:space="preserve">. </w:t>
      </w:r>
      <w:proofErr w:type="spellStart"/>
      <w:r w:rsidR="00F660F0">
        <w:t>Collins</w:t>
      </w:r>
      <w:proofErr w:type="spellEnd"/>
      <w:r w:rsidR="00F660F0">
        <w:t xml:space="preserve"> </w:t>
      </w:r>
      <w:r w:rsidR="00F660F0">
        <w:fldChar w:fldCharType="begin" w:fldLock="1"/>
      </w:r>
      <w:r w:rsidR="004E0A21">
        <w:instrText>ADDIN CSL_CITATION { "citationItems" : [ { "id" : "ITEM-1", "itemData" : { "author" : [ { "dropping-particle" : "", "family" : "Collins", "given" : "Randall", "non-dropping-particle" : "", "parse-names" : false, "suffix" : "" } ], "id" : "ITEM-1", "issued" : { "date-parts" : [ [ "2005" ] ] }, "publisher" : "Princeton University Press", "publisher-place" : "Princeton", "title" : "Interaction Rituals Chains", "type" : "book" }, "suppress-author" : 1, "uris" : [ "http://www.mendeley.com/documents/?uuid=0c487af5-6478-4659-aec9-a9cb2e4edd60" ] } ], "mendeley" : { "formattedCitation" : "(2005)", "plainTextFormattedCitation" : "(2005)", "previouslyFormattedCitation" : "(2005)" }, "properties" : { "noteIndex" : 0 }, "schema" : "https://github.com/citation-style-language/schema/raw/master/csl-citation.json" }</w:instrText>
      </w:r>
      <w:r w:rsidR="00F660F0">
        <w:fldChar w:fldCharType="separate"/>
      </w:r>
      <w:r w:rsidR="00F660F0" w:rsidRPr="00F660F0">
        <w:rPr>
          <w:noProof/>
        </w:rPr>
        <w:t>(2005)</w:t>
      </w:r>
      <w:r w:rsidR="00F660F0">
        <w:fldChar w:fldCharType="end"/>
      </w:r>
      <w:r w:rsidR="00F660F0">
        <w:t xml:space="preserve"> </w:t>
      </w:r>
      <w:r w:rsidR="00D60509">
        <w:t xml:space="preserve">nota a ausência de referências </w:t>
      </w:r>
      <w:proofErr w:type="spellStart"/>
      <w:r w:rsidR="00D60509">
        <w:t>durkheimianas</w:t>
      </w:r>
      <w:proofErr w:type="spellEnd"/>
      <w:r w:rsidR="00D60509">
        <w:t xml:space="preserve">, antropológicas, nas </w:t>
      </w:r>
      <w:r w:rsidR="00F660F0">
        <w:t>defin</w:t>
      </w:r>
      <w:r w:rsidR="0015455D">
        <w:t>ições d</w:t>
      </w:r>
      <w:r w:rsidR="00F660F0">
        <w:t>e sociedade</w:t>
      </w:r>
      <w:r w:rsidR="0015455D">
        <w:t xml:space="preserve">. Nomeadamente as que se podem desenvolver a partir de </w:t>
      </w:r>
      <w:r w:rsidR="0015455D" w:rsidRPr="0015455D">
        <w:rPr>
          <w:i/>
        </w:rPr>
        <w:t>Formas Elementares da Vida Religiosa</w:t>
      </w:r>
      <w:r w:rsidR="0015455D">
        <w:t>, do estudo das formas de emergência e evolução dos conhecimentos.</w:t>
      </w:r>
      <w:r w:rsidR="00F660F0">
        <w:t xml:space="preserve"> </w:t>
      </w:r>
      <w:r w:rsidR="0015455D">
        <w:t xml:space="preserve">O sociólogo norte-americano estuda </w:t>
      </w:r>
      <w:r w:rsidR="00F660F0">
        <w:t xml:space="preserve">a energia emocional procurada, acumulada e usada pelas pessoas para a construção de situações de maior estabilidade pessoal e social. </w:t>
      </w:r>
      <w:r w:rsidR="0015455D">
        <w:t>Faz desse instinto alimentar a base da própria sociedade, não só centrado em comida mas também em sexo e em relações sociais propícias à satisfação de necessidades básicas, incluindo protecção e cuidados contra a violência e afirmação de resiliência contra a instabilidade identitária. E</w:t>
      </w:r>
      <w:r w:rsidR="004E0A21">
        <w:t>stes trabalhos</w:t>
      </w:r>
      <w:r w:rsidR="0015455D">
        <w:t xml:space="preserve"> requerem </w:t>
      </w:r>
      <w:r w:rsidR="004E0A21">
        <w:t xml:space="preserve">capacidade de mobilidade </w:t>
      </w:r>
      <w:r w:rsidR="0015455D">
        <w:t xml:space="preserve">capaz de produzir os encontros sociais necessários à procura de novas energias emocionais. Mobilidade fundadora da epopeia </w:t>
      </w:r>
      <w:r w:rsidR="0015455D">
        <w:lastRenderedPageBreak/>
        <w:t xml:space="preserve">humana na Terra. E que </w:t>
      </w:r>
      <w:r w:rsidR="004E0A21">
        <w:t xml:space="preserve">diferencia as </w:t>
      </w:r>
      <w:r w:rsidR="0015455D">
        <w:t xml:space="preserve">potencialidades das </w:t>
      </w:r>
      <w:r w:rsidR="004E0A21">
        <w:t xml:space="preserve">diferentes sociedades e </w:t>
      </w:r>
      <w:r w:rsidR="0015455D">
        <w:t>d</w:t>
      </w:r>
      <w:r w:rsidR="004E0A21">
        <w:t xml:space="preserve">as pessoas dentro de cada sociedade </w:t>
      </w:r>
      <w:r w:rsidR="004E0A21">
        <w:fldChar w:fldCharType="begin" w:fldLock="1"/>
      </w:r>
      <w:r w:rsidR="004E0A21">
        <w:instrText>ADDIN CSL_CITATION { "citationItems" : [ { "id" : "ITEM-1", "itemData" : { "author" : [ { "dropping-particle" : "", "family" : "Urry", "given" : "John", "non-dropping-particle" : "", "parse-names" : false, "suffix" : "" } ], "id" : "ITEM-1", "issued" : { "date-parts" : [ [ "2007" ] ] }, "publisher" : "Polity Press", "publisher-place" : "Cambridge", "title" : "Mobilities", "type" : "book" }, "uris" : [ "http://www.mendeley.com/documents/?uuid=7cf1eb8e-4891-480a-90bc-e76ec7c35496" ] } ], "mendeley" : { "formattedCitation" : "(Urry 2007)", "plainTextFormattedCitation" : "(Urry 2007)", "previouslyFormattedCitation" : "(Urry 2007)" }, "properties" : { "noteIndex" : 0 }, "schema" : "https://github.com/citation-style-language/schema/raw/master/csl-citation.json" }</w:instrText>
      </w:r>
      <w:r w:rsidR="004E0A21">
        <w:fldChar w:fldCharType="separate"/>
      </w:r>
      <w:r w:rsidR="004E0A21" w:rsidRPr="004E0A21">
        <w:rPr>
          <w:noProof/>
        </w:rPr>
        <w:t>(Urry 2007)</w:t>
      </w:r>
      <w:r w:rsidR="004E0A21">
        <w:fldChar w:fldCharType="end"/>
      </w:r>
      <w:r w:rsidR="004E0A21">
        <w:t xml:space="preserve">. A importância da liberdade ambulatória </w:t>
      </w:r>
      <w:r w:rsidR="0015455D">
        <w:t xml:space="preserve">(pela positiva e pela negativa) </w:t>
      </w:r>
      <w:r w:rsidR="004E0A21">
        <w:t xml:space="preserve">não pode ser exagerada. Como mostra o estudo de </w:t>
      </w:r>
      <w:proofErr w:type="spellStart"/>
      <w:r w:rsidR="004E0A21">
        <w:t>Zimbardo</w:t>
      </w:r>
      <w:proofErr w:type="spellEnd"/>
      <w:r w:rsidR="004E0A21">
        <w:t xml:space="preserve"> </w:t>
      </w:r>
      <w:r w:rsidR="004E0A21">
        <w:fldChar w:fldCharType="begin" w:fldLock="1"/>
      </w:r>
      <w:r w:rsidR="004E0A21">
        <w:instrText>ADDIN CSL_CITATION { "citationItems" : [ { "id" : "ITEM-1", "itemData" : { "author" : [ { "dropping-particle" : "", "family" : "Zimbardo", "given" : "Philip", "non-dropping-particle" : "", "parse-names" : false, "suffix" : "" } ], "id" : "ITEM-1", "issued" : { "date-parts" : [ [ "2007" ] ] }, "publisher" : "Random House", "publisher-place" : "NY", "title" : "The Lucifer Effect: understanding how good people turn evil", "type" : "book" }, "suppress-author" : 1, "uris" : [ "http://www.mendeley.com/documents/?uuid=afeb4001-887e-4e82-9294-53442c56c5a9" ] } ], "mendeley" : { "formattedCitation" : "(2007)", "plainTextFormattedCitation" : "(2007)", "previouslyFormattedCitation" : "(2007)" }, "properties" : { "noteIndex" : 0 }, "schema" : "https://github.com/citation-style-language/schema/raw/master/csl-citation.json" }</w:instrText>
      </w:r>
      <w:r w:rsidR="004E0A21">
        <w:fldChar w:fldCharType="separate"/>
      </w:r>
      <w:r w:rsidR="004E0A21" w:rsidRPr="004E0A21">
        <w:rPr>
          <w:noProof/>
        </w:rPr>
        <w:t>(2007)</w:t>
      </w:r>
      <w:r w:rsidR="004E0A21">
        <w:fldChar w:fldCharType="end"/>
      </w:r>
      <w:r w:rsidR="004E0A21">
        <w:t xml:space="preserve"> sobre as prisões</w:t>
      </w:r>
      <w:r w:rsidR="0015455D">
        <w:t>, a</w:t>
      </w:r>
      <w:r w:rsidR="004E0A21">
        <w:t xml:space="preserve">utomaticamente os instintos perversos emergem das situações de isolamento social forçado. No sentido inverso do que ocorre com a menor desigualdade relativa de rendimentos atribuídos às pessoas que se identificam com a mesma sociedade </w:t>
      </w:r>
      <w:r w:rsidR="004E0A21">
        <w:fldChar w:fldCharType="begin" w:fldLock="1"/>
      </w:r>
      <w:r w:rsidR="004E0A21">
        <w:instrText>ADDIN CSL_CITATION { "citationItems" : [ { "id" : "ITEM-1", "itemData" : { "abstract" : "132 gr\u00e1fico de idade de homicidas USA-England&amp;Wales 30/1 9 gr\u00e1fico felicidade X rendimento 10 mil dolares ano", "author" : [ { "dropping-particle" : "", "family" : "Wilkinson", "given" : "Richard", "non-dropping-particle" : "", "parse-names" : false, "suffix" : "" }, { "dropping-particle" : "", "family" : "Pickett", "given" : "Kate", "non-dropping-particle" : "", "parse-names" : false, "suffix" : "" } ], "id" : "ITEM-1", "issued" : { "date-parts" : [ [ "2009" ] ] }, "publisher" : "Penguin Books", "publisher-place" : "London", "title" : "The Spirit Level \u2013 why more equal societies almost always do better", "type" : "book" }, "uris" : [ "http://www.mendeley.com/documents/?uuid=a090dab3-0d51-4fab-8e43-ae0d13e80d6b" ] } ], "mendeley" : { "formattedCitation" : "(Wilkinson &amp; Pickett 2009)", "plainTextFormattedCitation" : "(Wilkinson &amp; Pickett 2009)", "previouslyFormattedCitation" : "(Wilkinson &amp; Pickett 2009)" }, "properties" : { "noteIndex" : 0 }, "schema" : "https://github.com/citation-style-language/schema/raw/master/csl-citation.json" }</w:instrText>
      </w:r>
      <w:r w:rsidR="004E0A21">
        <w:fldChar w:fldCharType="separate"/>
      </w:r>
      <w:r w:rsidR="004E0A21" w:rsidRPr="004E0A21">
        <w:rPr>
          <w:noProof/>
        </w:rPr>
        <w:t>(Wilkinson &amp; Pickett 2009)</w:t>
      </w:r>
      <w:r w:rsidR="004E0A21">
        <w:fldChar w:fldCharType="end"/>
      </w:r>
      <w:r w:rsidR="004E0A21">
        <w:t xml:space="preserve">. Há algo que se impõe à natureza humana, condicionando-a para o melhor e o pior, segundo a liberdade </w:t>
      </w:r>
      <w:r w:rsidR="0015455D">
        <w:t xml:space="preserve">relativa </w:t>
      </w:r>
      <w:r w:rsidR="004E0A21">
        <w:t xml:space="preserve">de que disponham as pessoas. O que é igual para outros animais, é potenciado na espécie humana pela sua característica mental recursiva </w:t>
      </w:r>
      <w:r w:rsidR="004E0A21">
        <w:fldChar w:fldCharType="begin" w:fldLock="1"/>
      </w:r>
      <w:r w:rsidR="00D60509">
        <w:instrText>ADDIN CSL_CITATION { "citationItems" : [ { "id" : "ITEM-1", "itemData" : { "author" : [ { "dropping-particle" : "", "family" : "Corballis", "given" : "Michael C.", "non-dropping-particle" : "", "parse-names" : false, "suffix" : "" } ], "id" : "ITEM-1", "issued" : { "date-parts" : [ [ "2011" ] ] }, "publisher" : "Princeton University Press", "publisher-place" : "Princeton", "title" : "The Recursive Mind \u2013 The Origins of Human Language, Thought, and Civilization", "type" : "book" }, "uris" : [ "http://www.mendeley.com/documents/?uuid=fc0e18d1-dbb9-4f1e-9e50-9a9001b7a2b0" ] } ], "mendeley" : { "formattedCitation" : "(Corballis 2011)", "plainTextFormattedCitation" : "(Corballis 2011)", "previouslyFormattedCitation" : "(Corballis 2011)" }, "properties" : { "noteIndex" : 0 }, "schema" : "https://github.com/citation-style-language/schema/raw/master/csl-citation.json" }</w:instrText>
      </w:r>
      <w:r w:rsidR="004E0A21">
        <w:fldChar w:fldCharType="separate"/>
      </w:r>
      <w:r w:rsidR="004E0A21" w:rsidRPr="004E0A21">
        <w:rPr>
          <w:noProof/>
        </w:rPr>
        <w:t>(Corballis 2011)</w:t>
      </w:r>
      <w:r w:rsidR="004E0A21">
        <w:fldChar w:fldCharType="end"/>
      </w:r>
      <w:r w:rsidR="004E0A21">
        <w:t xml:space="preserve">. </w:t>
      </w:r>
      <w:r w:rsidR="0015455D">
        <w:t>As pessoas, quer queiram quer não,</w:t>
      </w:r>
      <w:r w:rsidR="004E0A21">
        <w:t xml:space="preserve"> vive</w:t>
      </w:r>
      <w:r w:rsidR="0015455D">
        <w:t>m</w:t>
      </w:r>
      <w:r w:rsidR="004E0A21">
        <w:t xml:space="preserve"> da sua imaginação sobre o passado (identidade) e o futuro (oportunidades de ser cuidado e de cuidar)</w:t>
      </w:r>
      <w:r w:rsidR="0015455D">
        <w:t>. O</w:t>
      </w:r>
      <w:r w:rsidR="004E0A21">
        <w:t xml:space="preserve"> ser humano sofre de um modo mais intenso e transformador as restrições </w:t>
      </w:r>
      <w:r w:rsidR="0015455D">
        <w:t xml:space="preserve">e as oportunidades </w:t>
      </w:r>
      <w:r w:rsidR="004E0A21">
        <w:t>de liberdade</w:t>
      </w:r>
      <w:r w:rsidR="0015455D">
        <w:t>. O</w:t>
      </w:r>
      <w:r w:rsidR="004E0A21">
        <w:t>s mitos históricos e as migrações dão conta</w:t>
      </w:r>
      <w:r w:rsidR="0001563E">
        <w:t xml:space="preserve"> disso mesmo.</w:t>
      </w:r>
    </w:p>
    <w:p w:rsidR="0001563E" w:rsidRDefault="0001563E">
      <w:r>
        <w:t xml:space="preserve">Não basta reconhecer como a teoria social limita o campo de acção e de visão dos sociólogos. É possível estabelecer uma estratégia cognitiva para escapar à prisão (estrutural-funcionalista ou equivalente) em que estamos. Construir teorias centrífugas, abertas às ciências (como a biologia) e a outros saberes (como o direito), às histórias e às prospectivas de mais longo prazo </w:t>
      </w:r>
      <w:r>
        <w:fldChar w:fldCharType="begin" w:fldLock="1"/>
      </w:r>
      <w:r w:rsidR="005E5614">
        <w:instrText>ADDIN CSL_CITATION { "citationItems" : [ { "id" : "ITEM-1", "itemData" : { "author" : [ { "dropping-particle" : "", "family" : "Morris", "given" : "Ian", "non-dropping-particle" : "", "parse-names" : false, "suffix" : "" } ], "edition" : "1\u00aa ed. 201", "id" : "ITEM-1", "issued" : { "date-parts" : [ [ "2013" ] ] }, "publisher" : "Bertrand", "publisher-place" : "Lisboa", "title" : "O Dom\u00ednio do Ocidente", "type" : "book" }, "uris" : [ "http://www.mendeley.com/documents/?uuid=c90debdb-1bdb-4951-b1f1-41296ed43f2f" ] } ], "mendeley" : { "formattedCitation" : "(Morris 2013)", "plainTextFormattedCitation" : "(Morris 2013)", "previouslyFormattedCitation" : "(Morris 2013)" }, "properties" : { "noteIndex" : 0 }, "schema" : "https://github.com/citation-style-language/schema/raw/master/csl-citation.json" }</w:instrText>
      </w:r>
      <w:r>
        <w:fldChar w:fldCharType="separate"/>
      </w:r>
      <w:r w:rsidRPr="0001563E">
        <w:rPr>
          <w:noProof/>
        </w:rPr>
        <w:t>(Morris 2013)</w:t>
      </w:r>
      <w:r>
        <w:fldChar w:fldCharType="end"/>
      </w:r>
      <w:r>
        <w:t>, no sentido de atribuir aos sociólogos a maior amplitude de liberdade possível.</w:t>
      </w:r>
    </w:p>
    <w:p w:rsidR="005E5614" w:rsidRDefault="005E5614"/>
    <w:p w:rsidR="005E5614" w:rsidRDefault="005E5614">
      <w:r>
        <w:t>Referências:</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instrText xml:space="preserve">ADDIN Mendeley Bibliography CSL_BIBLIOGRAPHY </w:instrText>
      </w:r>
      <w:r>
        <w:fldChar w:fldCharType="separate"/>
      </w:r>
      <w:r w:rsidRPr="005E5614">
        <w:rPr>
          <w:rFonts w:ascii="Calibri" w:hAnsi="Calibri" w:cs="Times New Roman"/>
          <w:noProof/>
          <w:szCs w:val="24"/>
        </w:rPr>
        <w:t xml:space="preserve">Alberoni, F., 1989. </w:t>
      </w:r>
      <w:r w:rsidRPr="005E5614">
        <w:rPr>
          <w:rFonts w:ascii="Calibri" w:hAnsi="Calibri" w:cs="Times New Roman"/>
          <w:i/>
          <w:iCs/>
          <w:noProof/>
          <w:szCs w:val="24"/>
        </w:rPr>
        <w:t>Génese</w:t>
      </w:r>
      <w:r w:rsidRPr="005E5614">
        <w:rPr>
          <w:rFonts w:ascii="Calibri" w:hAnsi="Calibri" w:cs="Times New Roman"/>
          <w:noProof/>
          <w:szCs w:val="24"/>
        </w:rPr>
        <w:t>, Lisboa: Bertrand.</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Bauman, Z., 1997. </w:t>
      </w:r>
      <w:r w:rsidRPr="005E5614">
        <w:rPr>
          <w:rFonts w:ascii="Calibri" w:hAnsi="Calibri" w:cs="Times New Roman"/>
          <w:i/>
          <w:iCs/>
          <w:noProof/>
          <w:szCs w:val="24"/>
        </w:rPr>
        <w:t>Modernidad y Holocausto</w:t>
      </w:r>
      <w:r w:rsidRPr="005E5614">
        <w:rPr>
          <w:rFonts w:ascii="Calibri" w:hAnsi="Calibri" w:cs="Times New Roman"/>
          <w:noProof/>
          <w:szCs w:val="24"/>
        </w:rPr>
        <w:t xml:space="preserve"> 1</w:t>
      </w:r>
      <w:r w:rsidRPr="005E5614">
        <w:rPr>
          <w:rFonts w:ascii="Calibri" w:hAnsi="Calibri" w:cs="Times New Roman"/>
          <w:noProof/>
          <w:szCs w:val="24"/>
          <w:vertAlign w:val="superscript"/>
        </w:rPr>
        <w:t>a</w:t>
      </w:r>
      <w:r w:rsidRPr="005E5614">
        <w:rPr>
          <w:rFonts w:ascii="Calibri" w:hAnsi="Calibri" w:cs="Times New Roman"/>
          <w:noProof/>
          <w:szCs w:val="24"/>
        </w:rPr>
        <w:t xml:space="preserve"> edição., Barcelona: Sequitur.</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Bhambra, G.K., 2014. </w:t>
      </w:r>
      <w:r w:rsidRPr="005E5614">
        <w:rPr>
          <w:rFonts w:ascii="Calibri" w:hAnsi="Calibri" w:cs="Times New Roman"/>
          <w:i/>
          <w:iCs/>
          <w:noProof/>
          <w:szCs w:val="24"/>
        </w:rPr>
        <w:t>Connected Sociologies</w:t>
      </w:r>
      <w:r w:rsidRPr="005E5614">
        <w:rPr>
          <w:rFonts w:ascii="Calibri" w:hAnsi="Calibri" w:cs="Times New Roman"/>
          <w:noProof/>
          <w:szCs w:val="24"/>
        </w:rPr>
        <w:t>, London/NewDelhi/NY/Sydney: Bloomsbury.</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Bourdieu, P. &amp; Passeron, J.-C., 1964. </w:t>
      </w:r>
      <w:r w:rsidRPr="005E5614">
        <w:rPr>
          <w:rFonts w:ascii="Calibri" w:hAnsi="Calibri" w:cs="Times New Roman"/>
          <w:i/>
          <w:iCs/>
          <w:noProof/>
          <w:szCs w:val="24"/>
        </w:rPr>
        <w:t>Les Héritiers</w:t>
      </w:r>
      <w:r w:rsidRPr="005E5614">
        <w:rPr>
          <w:rFonts w:ascii="Calibri" w:hAnsi="Calibri" w:cs="Times New Roman"/>
          <w:noProof/>
          <w:szCs w:val="24"/>
        </w:rPr>
        <w:t>, Paris: éditions de Minuit.</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Collins, R., 2005. </w:t>
      </w:r>
      <w:r w:rsidRPr="005E5614">
        <w:rPr>
          <w:rFonts w:ascii="Calibri" w:hAnsi="Calibri" w:cs="Times New Roman"/>
          <w:i/>
          <w:iCs/>
          <w:noProof/>
          <w:szCs w:val="24"/>
        </w:rPr>
        <w:t>Interaction Rituals Chains</w:t>
      </w:r>
      <w:r w:rsidRPr="005E5614">
        <w:rPr>
          <w:rFonts w:ascii="Calibri" w:hAnsi="Calibri" w:cs="Times New Roman"/>
          <w:noProof/>
          <w:szCs w:val="24"/>
        </w:rPr>
        <w:t>, Princeton: Princeton University Press.</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Corballis, M.C., 2011. </w:t>
      </w:r>
      <w:r w:rsidRPr="005E5614">
        <w:rPr>
          <w:rFonts w:ascii="Calibri" w:hAnsi="Calibri" w:cs="Times New Roman"/>
          <w:i/>
          <w:iCs/>
          <w:noProof/>
          <w:szCs w:val="24"/>
        </w:rPr>
        <w:t>The Recursive Mind – The Origins of Human Language, Thought, and Civilization</w:t>
      </w:r>
      <w:r w:rsidRPr="005E5614">
        <w:rPr>
          <w:rFonts w:ascii="Calibri" w:hAnsi="Calibri" w:cs="Times New Roman"/>
          <w:noProof/>
          <w:szCs w:val="24"/>
        </w:rPr>
        <w:t>, Princeton: Princeton University Press.</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Dores, A.P., 2014. Violence in society. </w:t>
      </w:r>
      <w:r w:rsidRPr="005E5614">
        <w:rPr>
          <w:rFonts w:ascii="Calibri" w:hAnsi="Calibri" w:cs="Times New Roman"/>
          <w:i/>
          <w:iCs/>
          <w:noProof/>
          <w:szCs w:val="24"/>
        </w:rPr>
        <w:t>Pensamiento Americano</w:t>
      </w:r>
      <w:r w:rsidRPr="005E5614">
        <w:rPr>
          <w:rFonts w:ascii="Calibri" w:hAnsi="Calibri" w:cs="Times New Roman"/>
          <w:noProof/>
          <w:szCs w:val="24"/>
        </w:rPr>
        <w:t>, 7(13), pp.144–162. Available at: http://www.coruniamericana.edu.co/publicaciones/ojs/index.php/pensamientoamericano/article/view/237.</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Foucault, M., 1999. </w:t>
      </w:r>
      <w:r w:rsidRPr="005E5614">
        <w:rPr>
          <w:rFonts w:ascii="Calibri" w:hAnsi="Calibri" w:cs="Times New Roman"/>
          <w:i/>
          <w:iCs/>
          <w:noProof/>
          <w:szCs w:val="24"/>
        </w:rPr>
        <w:t>Les anormaux</w:t>
      </w:r>
      <w:r w:rsidRPr="005E5614">
        <w:rPr>
          <w:rFonts w:ascii="Calibri" w:hAnsi="Calibri" w:cs="Times New Roman"/>
          <w:noProof/>
          <w:szCs w:val="24"/>
        </w:rPr>
        <w:t>, Paris: Gallimard, Le Seuil.</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Foucault, M., 1975. </w:t>
      </w:r>
      <w:r w:rsidRPr="005E5614">
        <w:rPr>
          <w:rFonts w:ascii="Calibri" w:hAnsi="Calibri" w:cs="Times New Roman"/>
          <w:i/>
          <w:iCs/>
          <w:noProof/>
          <w:szCs w:val="24"/>
        </w:rPr>
        <w:t>Surveiller et punir : naissance de la prison</w:t>
      </w:r>
      <w:r w:rsidRPr="005E5614">
        <w:rPr>
          <w:rFonts w:ascii="Calibri" w:hAnsi="Calibri" w:cs="Times New Roman"/>
          <w:noProof/>
          <w:szCs w:val="24"/>
        </w:rPr>
        <w:t>, Paris: Gallimard.</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Giddens, A., 1988. Dimensões da modernidade. </w:t>
      </w:r>
      <w:r w:rsidRPr="005E5614">
        <w:rPr>
          <w:rFonts w:ascii="Calibri" w:hAnsi="Calibri" w:cs="Times New Roman"/>
          <w:i/>
          <w:iCs/>
          <w:noProof/>
          <w:szCs w:val="24"/>
        </w:rPr>
        <w:t>Sociologia Problemas e Práticas</w:t>
      </w:r>
      <w:r w:rsidRPr="005E5614">
        <w:rPr>
          <w:rFonts w:ascii="Calibri" w:hAnsi="Calibri" w:cs="Times New Roman"/>
          <w:noProof/>
          <w:szCs w:val="24"/>
        </w:rPr>
        <w:t>, (4). Available at: http://sociologiapp.iscte.pt/pdfs/36/407.pdf.</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Girard, R., 1972. </w:t>
      </w:r>
      <w:r w:rsidRPr="005E5614">
        <w:rPr>
          <w:rFonts w:ascii="Calibri" w:hAnsi="Calibri" w:cs="Times New Roman"/>
          <w:i/>
          <w:iCs/>
          <w:noProof/>
          <w:szCs w:val="24"/>
        </w:rPr>
        <w:t>La Violence et le sacré</w:t>
      </w:r>
      <w:r w:rsidRPr="005E5614">
        <w:rPr>
          <w:rFonts w:ascii="Calibri" w:hAnsi="Calibri" w:cs="Times New Roman"/>
          <w:noProof/>
          <w:szCs w:val="24"/>
        </w:rPr>
        <w:t>, Paris: Grasset.</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Holloway, J., 2003. </w:t>
      </w:r>
      <w:r w:rsidRPr="005E5614">
        <w:rPr>
          <w:rFonts w:ascii="Calibri" w:hAnsi="Calibri" w:cs="Times New Roman"/>
          <w:i/>
          <w:iCs/>
          <w:noProof/>
          <w:szCs w:val="24"/>
        </w:rPr>
        <w:t xml:space="preserve">Change the World Without Taking Power - The Meaning of Revolution </w:t>
      </w:r>
      <w:r w:rsidRPr="005E5614">
        <w:rPr>
          <w:rFonts w:ascii="Calibri" w:hAnsi="Calibri" w:cs="Times New Roman"/>
          <w:i/>
          <w:iCs/>
          <w:noProof/>
          <w:szCs w:val="24"/>
        </w:rPr>
        <w:lastRenderedPageBreak/>
        <w:t>Today</w:t>
      </w:r>
      <w:r w:rsidRPr="005E5614">
        <w:rPr>
          <w:rFonts w:ascii="Calibri" w:hAnsi="Calibri" w:cs="Times New Roman"/>
          <w:noProof/>
          <w:szCs w:val="24"/>
        </w:rPr>
        <w:t>, London: Pluto Press. Available at: http://www.endpage.org.</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Joas, H., 2005. </w:t>
      </w:r>
      <w:r w:rsidRPr="005E5614">
        <w:rPr>
          <w:rFonts w:ascii="Calibri" w:hAnsi="Calibri" w:cs="Times New Roman"/>
          <w:i/>
          <w:iCs/>
          <w:noProof/>
          <w:szCs w:val="24"/>
        </w:rPr>
        <w:t>Guerra y Modernidad - estudios sobre la historia de la violencia en el siglo XX</w:t>
      </w:r>
      <w:r w:rsidRPr="005E5614">
        <w:rPr>
          <w:rFonts w:ascii="Calibri" w:hAnsi="Calibri" w:cs="Times New Roman"/>
          <w:noProof/>
          <w:szCs w:val="24"/>
        </w:rPr>
        <w:t>, Barcelona: Paido.</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Lahire, B., 2012. </w:t>
      </w:r>
      <w:r w:rsidRPr="005E5614">
        <w:rPr>
          <w:rFonts w:ascii="Calibri" w:hAnsi="Calibri" w:cs="Times New Roman"/>
          <w:i/>
          <w:iCs/>
          <w:noProof/>
          <w:szCs w:val="24"/>
        </w:rPr>
        <w:t>Monde pluriel. Penser l’unité des sciences sociales</w:t>
      </w:r>
      <w:r w:rsidRPr="005E5614">
        <w:rPr>
          <w:rFonts w:ascii="Calibri" w:hAnsi="Calibri" w:cs="Times New Roman"/>
          <w:noProof/>
          <w:szCs w:val="24"/>
        </w:rPr>
        <w:t xml:space="preserve"> Couleur de., Paris: Seuil.</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Lahire, B., 2003. </w:t>
      </w:r>
      <w:r w:rsidRPr="005E5614">
        <w:rPr>
          <w:rFonts w:ascii="Calibri" w:hAnsi="Calibri" w:cs="Times New Roman"/>
          <w:i/>
          <w:iCs/>
          <w:noProof/>
          <w:szCs w:val="24"/>
        </w:rPr>
        <w:t>O Homem Plural – As Molas da Acção</w:t>
      </w:r>
      <w:r w:rsidRPr="005E5614">
        <w:rPr>
          <w:rFonts w:ascii="Calibri" w:hAnsi="Calibri" w:cs="Times New Roman"/>
          <w:noProof/>
          <w:szCs w:val="24"/>
        </w:rPr>
        <w:t>, Lisboa: Piaget.</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Latour, B., 2007. </w:t>
      </w:r>
      <w:r w:rsidRPr="005E5614">
        <w:rPr>
          <w:rFonts w:ascii="Calibri" w:hAnsi="Calibri" w:cs="Times New Roman"/>
          <w:i/>
          <w:iCs/>
          <w:noProof/>
          <w:szCs w:val="24"/>
        </w:rPr>
        <w:t>Changer de société, refaire de la sociologie</w:t>
      </w:r>
      <w:r w:rsidRPr="005E5614">
        <w:rPr>
          <w:rFonts w:ascii="Calibri" w:hAnsi="Calibri" w:cs="Times New Roman"/>
          <w:noProof/>
          <w:szCs w:val="24"/>
        </w:rPr>
        <w:t>, Paris: La Découverte.</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Malešević, S., 2010. </w:t>
      </w:r>
      <w:r w:rsidRPr="005E5614">
        <w:rPr>
          <w:rFonts w:ascii="Calibri" w:hAnsi="Calibri" w:cs="Times New Roman"/>
          <w:i/>
          <w:iCs/>
          <w:noProof/>
          <w:szCs w:val="24"/>
        </w:rPr>
        <w:t>The Sociology of War and Violence</w:t>
      </w:r>
      <w:r w:rsidRPr="005E5614">
        <w:rPr>
          <w:rFonts w:ascii="Calibri" w:hAnsi="Calibri" w:cs="Times New Roman"/>
          <w:noProof/>
          <w:szCs w:val="24"/>
        </w:rPr>
        <w:t>, Cambridge: Cambridge University Press.</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Morris, I., 2013. </w:t>
      </w:r>
      <w:r w:rsidRPr="005E5614">
        <w:rPr>
          <w:rFonts w:ascii="Calibri" w:hAnsi="Calibri" w:cs="Times New Roman"/>
          <w:i/>
          <w:iCs/>
          <w:noProof/>
          <w:szCs w:val="24"/>
        </w:rPr>
        <w:t>O Domínio do Ocidente</w:t>
      </w:r>
      <w:r w:rsidRPr="005E5614">
        <w:rPr>
          <w:rFonts w:ascii="Calibri" w:hAnsi="Calibri" w:cs="Times New Roman"/>
          <w:noProof/>
          <w:szCs w:val="24"/>
        </w:rPr>
        <w:t xml:space="preserve"> 1</w:t>
      </w:r>
      <w:r w:rsidRPr="005E5614">
        <w:rPr>
          <w:rFonts w:ascii="Calibri" w:hAnsi="Calibri" w:cs="Times New Roman"/>
          <w:noProof/>
          <w:szCs w:val="24"/>
          <w:vertAlign w:val="superscript"/>
        </w:rPr>
        <w:t>a</w:t>
      </w:r>
      <w:r w:rsidRPr="005E5614">
        <w:rPr>
          <w:rFonts w:ascii="Calibri" w:hAnsi="Calibri" w:cs="Times New Roman"/>
          <w:noProof/>
          <w:szCs w:val="24"/>
        </w:rPr>
        <w:t xml:space="preserve"> ed. 201., Lisboa: Bertrand.</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Moscovici, S. &amp; Doise, W., 1991. </w:t>
      </w:r>
      <w:r w:rsidRPr="005E5614">
        <w:rPr>
          <w:rFonts w:ascii="Calibri" w:hAnsi="Calibri" w:cs="Times New Roman"/>
          <w:i/>
          <w:iCs/>
          <w:noProof/>
          <w:szCs w:val="24"/>
        </w:rPr>
        <w:t>Dissensões e Consenso</w:t>
      </w:r>
      <w:r w:rsidRPr="005E5614">
        <w:rPr>
          <w:rFonts w:ascii="Calibri" w:hAnsi="Calibri" w:cs="Times New Roman"/>
          <w:noProof/>
          <w:szCs w:val="24"/>
        </w:rPr>
        <w:t>, Lisboa: Livros Horizonte.</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Mouzelis, N., 1995. </w:t>
      </w:r>
      <w:r w:rsidRPr="005E5614">
        <w:rPr>
          <w:rFonts w:ascii="Calibri" w:hAnsi="Calibri" w:cs="Times New Roman"/>
          <w:i/>
          <w:iCs/>
          <w:noProof/>
          <w:szCs w:val="24"/>
        </w:rPr>
        <w:t>Sociological Theory: What Went Wrong? – diagnosis and remedies</w:t>
      </w:r>
      <w:r w:rsidRPr="005E5614">
        <w:rPr>
          <w:rFonts w:ascii="Calibri" w:hAnsi="Calibri" w:cs="Times New Roman"/>
          <w:noProof/>
          <w:szCs w:val="24"/>
        </w:rPr>
        <w:t>, London: Routledge.</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Preto, J., 2010. </w:t>
      </w:r>
      <w:r w:rsidRPr="005E5614">
        <w:rPr>
          <w:rFonts w:ascii="Calibri" w:hAnsi="Calibri" w:cs="Times New Roman"/>
          <w:i/>
          <w:iCs/>
          <w:noProof/>
          <w:szCs w:val="24"/>
        </w:rPr>
        <w:t>Estado Contra Direito - flagrantes do assédio Liberdade de Expressão</w:t>
      </w:r>
      <w:r w:rsidRPr="005E5614">
        <w:rPr>
          <w:rFonts w:ascii="Calibri" w:hAnsi="Calibri" w:cs="Times New Roman"/>
          <w:noProof/>
          <w:szCs w:val="24"/>
        </w:rPr>
        <w:t>, Lisboa: Argusnauta.</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Therborn, G., 2006. Meaning, Mechanisms, Patterns and Forces: an Introduction. In G. Therborn, ed. </w:t>
      </w:r>
      <w:r w:rsidRPr="005E5614">
        <w:rPr>
          <w:rFonts w:ascii="Calibri" w:hAnsi="Calibri" w:cs="Times New Roman"/>
          <w:i/>
          <w:iCs/>
          <w:noProof/>
          <w:szCs w:val="24"/>
        </w:rPr>
        <w:t>Inequalities of the World – New Theoretical Frameworks, Multiple empirical approaches</w:t>
      </w:r>
      <w:r w:rsidRPr="005E5614">
        <w:rPr>
          <w:rFonts w:ascii="Calibri" w:hAnsi="Calibri" w:cs="Times New Roman"/>
          <w:noProof/>
          <w:szCs w:val="24"/>
        </w:rPr>
        <w:t>. pp. 1–58.</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Urry, J., 2007. </w:t>
      </w:r>
      <w:r w:rsidRPr="005E5614">
        <w:rPr>
          <w:rFonts w:ascii="Calibri" w:hAnsi="Calibri" w:cs="Times New Roman"/>
          <w:i/>
          <w:iCs/>
          <w:noProof/>
          <w:szCs w:val="24"/>
        </w:rPr>
        <w:t>Mobilities</w:t>
      </w:r>
      <w:r w:rsidRPr="005E5614">
        <w:rPr>
          <w:rFonts w:ascii="Calibri" w:hAnsi="Calibri" w:cs="Times New Roman"/>
          <w:noProof/>
          <w:szCs w:val="24"/>
        </w:rPr>
        <w:t>, Cambridge: Polity Press.</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Wieviorka, M., 2005. </w:t>
      </w:r>
      <w:r w:rsidRPr="005E5614">
        <w:rPr>
          <w:rFonts w:ascii="Calibri" w:hAnsi="Calibri" w:cs="Times New Roman"/>
          <w:i/>
          <w:iCs/>
          <w:noProof/>
          <w:szCs w:val="24"/>
        </w:rPr>
        <w:t>La Violence</w:t>
      </w:r>
      <w:r w:rsidRPr="005E5614">
        <w:rPr>
          <w:rFonts w:ascii="Calibri" w:hAnsi="Calibri" w:cs="Times New Roman"/>
          <w:noProof/>
          <w:szCs w:val="24"/>
        </w:rPr>
        <w:t>, Paris: Hachette Littératures.</w:t>
      </w:r>
    </w:p>
    <w:p w:rsidR="005E5614" w:rsidRPr="005E5614" w:rsidRDefault="005E5614" w:rsidP="005E5614">
      <w:pPr>
        <w:widowControl w:val="0"/>
        <w:autoSpaceDE w:val="0"/>
        <w:autoSpaceDN w:val="0"/>
        <w:adjustRightInd w:val="0"/>
        <w:spacing w:line="240" w:lineRule="auto"/>
        <w:ind w:left="480" w:hanging="480"/>
        <w:rPr>
          <w:rFonts w:ascii="Calibri" w:hAnsi="Calibri" w:cs="Times New Roman"/>
          <w:noProof/>
          <w:szCs w:val="24"/>
        </w:rPr>
      </w:pPr>
      <w:r w:rsidRPr="005E5614">
        <w:rPr>
          <w:rFonts w:ascii="Calibri" w:hAnsi="Calibri" w:cs="Times New Roman"/>
          <w:noProof/>
          <w:szCs w:val="24"/>
        </w:rPr>
        <w:t xml:space="preserve">Wilkinson, R. &amp; Pickett, K., 2009. </w:t>
      </w:r>
      <w:r w:rsidRPr="005E5614">
        <w:rPr>
          <w:rFonts w:ascii="Calibri" w:hAnsi="Calibri" w:cs="Times New Roman"/>
          <w:i/>
          <w:iCs/>
          <w:noProof/>
          <w:szCs w:val="24"/>
        </w:rPr>
        <w:t>The Spirit Level – why more equal societies almost always do better</w:t>
      </w:r>
      <w:r w:rsidRPr="005E5614">
        <w:rPr>
          <w:rFonts w:ascii="Calibri" w:hAnsi="Calibri" w:cs="Times New Roman"/>
          <w:noProof/>
          <w:szCs w:val="24"/>
        </w:rPr>
        <w:t>, London: Penguin Books.</w:t>
      </w:r>
    </w:p>
    <w:p w:rsidR="005E5614" w:rsidRPr="005E5614" w:rsidRDefault="005E5614" w:rsidP="005E5614">
      <w:pPr>
        <w:widowControl w:val="0"/>
        <w:autoSpaceDE w:val="0"/>
        <w:autoSpaceDN w:val="0"/>
        <w:adjustRightInd w:val="0"/>
        <w:spacing w:line="240" w:lineRule="auto"/>
        <w:ind w:left="480" w:hanging="480"/>
        <w:rPr>
          <w:rFonts w:ascii="Calibri" w:hAnsi="Calibri"/>
          <w:noProof/>
        </w:rPr>
      </w:pPr>
      <w:r w:rsidRPr="005E5614">
        <w:rPr>
          <w:rFonts w:ascii="Calibri" w:hAnsi="Calibri" w:cs="Times New Roman"/>
          <w:noProof/>
          <w:szCs w:val="24"/>
        </w:rPr>
        <w:t xml:space="preserve">Zimbardo, P., 2007. </w:t>
      </w:r>
      <w:r w:rsidRPr="005E5614">
        <w:rPr>
          <w:rFonts w:ascii="Calibri" w:hAnsi="Calibri" w:cs="Times New Roman"/>
          <w:i/>
          <w:iCs/>
          <w:noProof/>
          <w:szCs w:val="24"/>
        </w:rPr>
        <w:t>The Lucifer Effect: understanding how good people turn evil</w:t>
      </w:r>
      <w:r w:rsidRPr="005E5614">
        <w:rPr>
          <w:rFonts w:ascii="Calibri" w:hAnsi="Calibri" w:cs="Times New Roman"/>
          <w:noProof/>
          <w:szCs w:val="24"/>
        </w:rPr>
        <w:t>, NY: Random House.</w:t>
      </w:r>
    </w:p>
    <w:p w:rsidR="0001563E" w:rsidRDefault="005E5614">
      <w:r>
        <w:fldChar w:fldCharType="end"/>
      </w:r>
    </w:p>
    <w:p w:rsidR="00C8192B" w:rsidRDefault="00C8192B"/>
    <w:sectPr w:rsidR="00C81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84"/>
    <w:rsid w:val="0001563E"/>
    <w:rsid w:val="0007290E"/>
    <w:rsid w:val="0014251B"/>
    <w:rsid w:val="0015455D"/>
    <w:rsid w:val="001A407C"/>
    <w:rsid w:val="001A55E9"/>
    <w:rsid w:val="002C452E"/>
    <w:rsid w:val="003C6E1B"/>
    <w:rsid w:val="00425E68"/>
    <w:rsid w:val="004E0A21"/>
    <w:rsid w:val="00590F97"/>
    <w:rsid w:val="005E5614"/>
    <w:rsid w:val="0064756D"/>
    <w:rsid w:val="00840658"/>
    <w:rsid w:val="00944F0F"/>
    <w:rsid w:val="009A29EC"/>
    <w:rsid w:val="009C7684"/>
    <w:rsid w:val="00C8192B"/>
    <w:rsid w:val="00D60509"/>
    <w:rsid w:val="00DA0FED"/>
    <w:rsid w:val="00F660F0"/>
    <w:rsid w:val="00F802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AEB4-9919-4951-B71B-B0D000BC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6390</Words>
  <Characters>34512</Characters>
  <Application>Microsoft Office Word</Application>
  <DocSecurity>4</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dores</dc:creator>
  <cp:lastModifiedBy>Antonio Dores</cp:lastModifiedBy>
  <cp:revision>2</cp:revision>
  <dcterms:created xsi:type="dcterms:W3CDTF">2016-11-13T08:33:00Z</dcterms:created>
  <dcterms:modified xsi:type="dcterms:W3CDTF">2016-11-13T08:33:00Z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6a86be35-736d-3b6b-bca5-b0a474a8a1c6</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