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05" w:rsidRDefault="00D56305" w:rsidP="00D56305">
      <w:r>
        <w:t>Tabus da teoria social</w:t>
      </w:r>
      <w:bookmarkStart w:id="0" w:name="_GoBack"/>
      <w:bookmarkEnd w:id="0"/>
    </w:p>
    <w:p w:rsidR="00D56305" w:rsidRDefault="00D56305" w:rsidP="00D56305">
      <w:r>
        <w:t xml:space="preserve">A teoria social não mantem uma discussão aberta sobre temas fundamentais para a compreensão das sociedades modernas, como sejam: qual é a natureza da sociedade humana; qual é a natureza do estado e do estado social, em particular; qual é a natureza da justiça; qual é a natureza da ciência. Em qualquer destes casos os cursos de sociologia tomam como consensuais e conhecidas as respostas, tornando quaisquer perguntas sobre tais temas deslocadas, exóticas, impertinentes, repugnantes. Usam, sobretudo, duas ideias para obter este resultado: as sociedades modernas são </w:t>
      </w:r>
      <w:proofErr w:type="spellStart"/>
      <w:r>
        <w:t>excepcionais</w:t>
      </w:r>
      <w:proofErr w:type="spellEnd"/>
      <w:r>
        <w:t xml:space="preserve">, tanto na história humana como na espécie humana como na natureza. A teoria social faz a apologia das sociedades modernas na base da sua deificação, isto é, reificação elevada à </w:t>
      </w:r>
      <w:proofErr w:type="spellStart"/>
      <w:r>
        <w:t>extra-terrestrialidade</w:t>
      </w:r>
      <w:proofErr w:type="spellEnd"/>
      <w:r>
        <w:t xml:space="preserve"> das classes dominantes, a que modestamente os sociólogos são convidados a integrar. Com exclusão do meio ambiente, das sociedades humanas não modernas, das pessoas que não estejam integradas nas sociedades modernas. Para obter esse efeito irrealista e </w:t>
      </w:r>
      <w:proofErr w:type="spellStart"/>
      <w:r>
        <w:t>contrafactual</w:t>
      </w:r>
      <w:proofErr w:type="spellEnd"/>
      <w:r>
        <w:t xml:space="preserve">, a teoria social faz tabu estratégico de vários temas, como a tecnologia </w:t>
      </w:r>
      <w:r>
        <w:fldChar w:fldCharType="begin" w:fldLock="1"/>
      </w:r>
      <w:r>
        <w:instrText>ADDIN CSL_CITATION { "citationItems" : [ { "id" : "ITEM-1", "itemData" : { "author" : [ { "dropping-particle" : "", "family" : "Latour", "given" : "Bruno", "non-dropping-particle" : "", "parse-names" : false, "suffix" : "" } ], "id" : "ITEM-1", "issued" : { "date-parts" : [ [ "2007" ] ] }, "publisher" : "La D\u00e9couverte", "publisher-place" : "Paris", "title" : "Changer de soci\u00e9t\u00e9, refaire de la sociologie", "type" : "book" }, "uris" : [ "http://www.mendeley.com/documents/?uuid=5ad25f55-0613-439d-9759-509962fa9726" ] } ], "mendeley" : { "formattedCitation" : "(Latour, 2007)", "plainTextFormattedCitation" : "(Latour, 2007)", "previouslyFormattedCitation" : "(Latour, 2007)" }, "properties" : { "noteIndex" : 0 }, "schema" : "https://github.com/citation-style-language/schema/raw/master/csl-citation.json" }</w:instrText>
      </w:r>
      <w:r>
        <w:fldChar w:fldCharType="separate"/>
      </w:r>
      <w:r w:rsidRPr="00D56305">
        <w:rPr>
          <w:noProof/>
        </w:rPr>
        <w:t>(Latour, 2007)</w:t>
      </w:r>
      <w:r>
        <w:fldChar w:fldCharType="end"/>
      </w:r>
      <w:r>
        <w:t xml:space="preserve"> (para evitar considerar o ambiente como variável a estudar), a fabricação de seres humanos </w:t>
      </w:r>
      <w:r>
        <w:fldChar w:fldCharType="begin" w:fldLock="1"/>
      </w:r>
      <w:r>
        <w:instrText>ADDIN CSL_CITATION { "citationItems" : [ { "id" : "ITEM-1", "itemData" : { "abstract" : "319-356 - organiza\u00e7\u00e3o da avalia\u00e7\u00e3o cient\u00edfica CS 347-351 Proposta de luta contra a burocracia cient\u00edfica \u2013 investigadores de todas as disciplinas e de todo o mundo uni-vos: 125: estudo poder deve ser completado", "author" : [ { "dropping-particle" : "", "family" : "Lahire", "given" : "Bernard", "non-dropping-particle" : "", "parse-names" : false, "suffix" : "" } ], "edition" : "Couleur de", "id" : "ITEM-1", "issued" : { "date-parts" : [ [ "2012" ] ] }, "publisher" : "Seuil", "publisher-place" : "Paris", "title" : "Monde pluriel. Penser l'unit\u00e9 des sciences sociales", "type" : "book" }, "uris" : [ "http://www.mendeley.com/documents/?uuid=696adb94-d985-4f4c-8d08-271c1740a85f" ] }, { "id" : "ITEM-2", "itemData" : { "abstract" : "3: poder precisa juntar estudo da vitalidade e existencial", "author" : [ { "dropping-particle" : "", "family" : "Therborn", "given" : "G\u00f6ran", "non-dropping-particle" : "", "parse-names" : false, "suffix" : "" } ], "container-title" : "Inequalities of the World \u2013 New Theoretical Frameworks, Multiple empirical approaches", "editor" : [ { "dropping-particle" : "", "family" : "Therborn", "given" : "G\u00f6ran", "non-dropping-particle" : "", "parse-names" : false, "suffix" : "" } ], "id" : "ITEM-2", "issued" : { "date-parts" : [ [ "2006" ] ] }, "page" : "1- 58", "publisher" : "Verso", "publisher-place" : "London", "title" : "Meaning, Mechanisms, Patterns and Forces: an Introduction", "type" : "chapter" }, "uris" : [ "http://www.mendeley.com/documents/?uuid=104942a1-15c5-4ee2-afd9-ed1ca5ec539f" ] } ], "mendeley" : { "formattedCitation" : "(Lahire, 2012; Therborn, 2006)", "manualFormatting" : "(Lahire 2012:125; Therborn 2006:3)", "plainTextFormattedCitation" : "(Lahire, 2012; Therborn, 2006)", "previouslyFormattedCitation" : "(Lahire, 2012; Therborn, 2006)" }, "properties" : { "noteIndex" : 0 }, "schema" : "https://github.com/citation-style-language/schema/raw/master/csl-citation.json" }</w:instrText>
      </w:r>
      <w:r>
        <w:fldChar w:fldCharType="separate"/>
      </w:r>
      <w:r>
        <w:rPr>
          <w:noProof/>
        </w:rPr>
        <w:t>(Lahire 2012:125; Therborn 2006:3)</w:t>
      </w:r>
      <w:r>
        <w:fldChar w:fldCharType="end"/>
      </w:r>
      <w:r>
        <w:t xml:space="preserve"> (para evitar considerar a animalidade da espécie), a evolução e a instabilidade das sociedades modernas </w:t>
      </w:r>
      <w:r>
        <w:fldChar w:fldCharType="begin" w:fldLock="1"/>
      </w:r>
      <w:r>
        <w:instrText>ADDIN CSL_CITATION { "citationItems" : [ { "id" : "ITEM-1", "itemData" : { "abstract" : "fases de introdu\u00e7\u00e3o do direito moderno", "author" : [ { "dropping-particle" : "", "family" : "Habermas", "given" : "J\u00fcrgen", "non-dropping-particle" : "", "parse-names" : false, "suffix" : "" } ], "container-title" : "The theory of Communicative Action", "edition" : "[1981]", "id" : "ITEM-1", "issued" : { "date-parts" : [ [ "1987" ] ] }, "page" : "356-373", "publisher" : "Polity Press", "publisher-place" : "Cambridge", "title" : "Tendencies toward Juridification", "type" : "chapter" }, "uris" : [ "http://www.mendeley.com/documents/?uuid=c2943c38-950b-4a7a-8efc-0349057111f4" ] }, { "id" : "ITEM-2", "itemData" : { "author" : [ { "dropping-particle" : "", "family" : "Burawoy", "given" : "Michael", "non-dropping-particle" : "", "parse-names" : false, "suffix" : "" } ], "container-title" : "Politics &amp; Society", "id" : "ITEM-2", "issue" : "31", "issued" : { "date-parts" : [ [ "2004" ] ] }, "page" : "193-261", "title" : "For a Sociological Marxism: The Complementary Convergence of Antonio Gramsci and Karl Polanyi", "type" : "article-journal" }, "uris" : [ "http://www.mendeley.com/documents/?uuid=e5ea4a3f-e7f2-4b7e-a002-1da302cc1756" ] } ], "mendeley" : { "formattedCitation" : "(Burawoy, 2004; Habermas, 1987)", "plainTextFormattedCitation" : "(Burawoy, 2004; Habermas, 1987)", "previouslyFormattedCitation" : "(Burawoy, 2004; Habermas, 1987)" }, "properties" : { "noteIndex" : 0 }, "schema" : "https://github.com/citation-style-language/schema/raw/master/csl-citation.json" }</w:instrText>
      </w:r>
      <w:r>
        <w:fldChar w:fldCharType="separate"/>
      </w:r>
      <w:r w:rsidRPr="00D56305">
        <w:rPr>
          <w:noProof/>
        </w:rPr>
        <w:t>(Burawoy, 2004; Habermas, 1987)</w:t>
      </w:r>
      <w:r>
        <w:fldChar w:fldCharType="end"/>
      </w:r>
      <w:r>
        <w:t xml:space="preserve"> (para evitar considerar a </w:t>
      </w:r>
      <w:proofErr w:type="spellStart"/>
      <w:r>
        <w:t>acção</w:t>
      </w:r>
      <w:proofErr w:type="spellEnd"/>
      <w:r>
        <w:t xml:space="preserve"> </w:t>
      </w:r>
      <w:proofErr w:type="spellStart"/>
      <w:r>
        <w:t>colectiva</w:t>
      </w:r>
      <w:proofErr w:type="spellEnd"/>
      <w:r>
        <w:t xml:space="preserve"> e a natureza da política), a violência </w:t>
      </w:r>
      <w:r>
        <w:fldChar w:fldCharType="begin" w:fldLock="1"/>
      </w:r>
      <w:r>
        <w:instrText>ADDIN CSL_CITATION { "citationItems" : [ { "id" : "ITEM-1", "itemData" : { "abstract" : "Na p\u00e1gina 281, j\u00e1 no fim do livro, Wieviorka escreve: \u201cEste livro n\u00e3o trata da viol\u00eancia do Estado\u201d. v\u00edtimas 81-108 violencia tabu desde anos 80 :68", "author" : [ { "dropping-particle" : "", "family" : "Wieviorka", "given" : "Michel", "non-dropping-particle" : "", "parse-names" : false, "suffix" : "" } ], "id" : "ITEM-1", "issued" : { "date-parts" : [ [ "2005" ] ] }, "publisher" : "Hachette Litt\u00e9ratures", "publisher-place" : "Paris", "title" : "La Violence", "type" : "book" }, "uris" : [ "http://www.mendeley.com/documents/?uuid=f7a79246-79a4-45f6-b2df-5760b2f07c40" ] }, { "id" : "ITEM-2", "itemData" : { "abstract" : "17 falta de violencia na TS", "author" : [ { "dropping-particle" : "", "family" : "Male\u0161evi\u0107", "given" : "Sini\u0161a", "non-dropping-particle" : "", "parse-names" : false, "suffix" : "" } ], "id" : "ITEM-2", "issued" : { "date-parts" : [ [ "2010" ] ] }, "publisher" : "Cambridge University Press", "publisher-place" : "Cambridge", "title" : "The Sociology of War and Violence", "type" : "book" }, "uris" : [ "http://www.mendeley.com/documents/?uuid=dfd358a9-a9a6-4f2e-8daa-af66850bf367" ] } ], "mendeley" : { "formattedCitation" : "(Male\u0161evi\u0107, 2010; Wieviorka, 2005)", "manualFormatting" : "(Wieviorka 2005:68; Male\u0161evi\u0107 2010:17)", "plainTextFormattedCitation" : "(Male\u0161evi\u0107, 2010; Wieviorka, 2005)", "previouslyFormattedCitation" : "(Male\u0161evi\u0107, 2010; Wieviorka, 2005)" }, "properties" : { "noteIndex" : 0 }, "schema" : "https://github.com/citation-style-language/schema/raw/master/csl-citation.json" }</w:instrText>
      </w:r>
      <w:r>
        <w:fldChar w:fldCharType="separate"/>
      </w:r>
      <w:r>
        <w:rPr>
          <w:noProof/>
        </w:rPr>
        <w:t>(Wieviorka 2005:68; Malešević 2010:17)</w:t>
      </w:r>
      <w:r>
        <w:fldChar w:fldCharType="end"/>
      </w:r>
      <w:r>
        <w:t xml:space="preserve"> (para evitar considerar o estado real).</w:t>
      </w:r>
    </w:p>
    <w:p w:rsidR="00D56305" w:rsidRDefault="00D56305" w:rsidP="00D56305">
      <w:r>
        <w:t xml:space="preserve">A pergunta “qual é a natureza?” deixa ansiosos os sociólogos, que entendem não ser seu o estudo da natureza. O estudo social, apresentado pela teoria social, é o estudo de um Olimpo formado por indivíduos livres e iguais, enquadrados por estruturas racionais, infelizmente cercados de </w:t>
      </w:r>
      <w:proofErr w:type="spellStart"/>
      <w:r>
        <w:t>dejectos</w:t>
      </w:r>
      <w:proofErr w:type="spellEnd"/>
      <w:r>
        <w:t xml:space="preserve"> impuros, </w:t>
      </w:r>
      <w:proofErr w:type="spellStart"/>
      <w:r>
        <w:t>objectos</w:t>
      </w:r>
      <w:proofErr w:type="spellEnd"/>
      <w:r>
        <w:t xml:space="preserve"> das ciências naturais, em particular da biologia, da ciência da evolução, ou da história natural, com as quais a teoria social quer evitar manter contactos, a pretexto da especial complexidade da sociedade, divinizada, e da intimidade do sociólogo com tal divindade. Esta discriminação incorporada na teoria social, contra tudo o que não seja classificado de moderno, nosso, próximo da sociologia e dos sociólogos, inclui também as ideologias: sistemas de raciocínio utilizados pelos políticos, estudados pelas ciências políticas, para lidar com as contingências impostas pelas tecnologias, pelos problemas demográficos, pela instabilidade social e institucional, pelas violências, pelo meio ambiente, à margem, nas margens do que é a sociedade propriamente dita.</w:t>
      </w:r>
    </w:p>
    <w:p w:rsidR="00D56305" w:rsidRDefault="00D56305" w:rsidP="00D56305">
      <w:r>
        <w:t xml:space="preserve">A repugnância ensinada nos cursos de sociologia quanto à biologia e à ideologia, e às </w:t>
      </w:r>
      <w:proofErr w:type="spellStart"/>
      <w:r>
        <w:t>respectivas</w:t>
      </w:r>
      <w:proofErr w:type="spellEnd"/>
      <w:r>
        <w:t xml:space="preserve"> discussões sobre a evolução e a </w:t>
      </w:r>
      <w:proofErr w:type="spellStart"/>
      <w:r>
        <w:t>acção</w:t>
      </w:r>
      <w:proofErr w:type="spellEnd"/>
      <w:r>
        <w:t xml:space="preserve"> </w:t>
      </w:r>
      <w:proofErr w:type="spellStart"/>
      <w:r>
        <w:t>colectiva</w:t>
      </w:r>
      <w:proofErr w:type="spellEnd"/>
      <w:r>
        <w:t xml:space="preserve">, a favor das ideias de modernidade ideal perseguida e nunca alcançada, virtual, deixada por Deus para nossa orientação, e de agência, potencia divina e imbatível de cada ser humano realizar os seus sonhos, desde que </w:t>
      </w:r>
      <w:proofErr w:type="spellStart"/>
      <w:r>
        <w:t>adopte</w:t>
      </w:r>
      <w:proofErr w:type="spellEnd"/>
      <w:r>
        <w:t xml:space="preserve"> a estratégia da filosofia positiva. O fundamental, nesta teoria, é a desqualificação do não moderno e da impotência ou da agência negativa individual ou </w:t>
      </w:r>
      <w:proofErr w:type="spellStart"/>
      <w:r>
        <w:t>colectiva</w:t>
      </w:r>
      <w:proofErr w:type="spellEnd"/>
      <w:r>
        <w:t xml:space="preserve">. O moderno, como o império, não exclui nem oprime: civiliza </w:t>
      </w:r>
      <w:r>
        <w:fldChar w:fldCharType="begin" w:fldLock="1"/>
      </w:r>
      <w:r>
        <w:instrText>ADDIN CSL_CITATION { "citationItems" : [ { "id" : "ITEM-1", "itemData" : { "author" : [ { "dropping-particle" : "", "family" : "Hirschman", "given" : "Albert O.", "non-dropping-particle" : "", "parse-names" : false, "suffix" : "" } ], "id" : "ITEM-1", "issued" : { "date-parts" : [ [ "1997" ] ] }, "publisher" : "Biz\u00e2ncio", "publisher-place" : "Lisboa", "title" : "As Paix\u00f5es e os Interesses", "type" : "book" }, "uris" : [ "http://www.mendeley.com/documents/?uuid=3c27be27-3dc0-4235-aa89-2b93ef9ce0fb" ] } ], "mendeley" : { "formattedCitation" : "(Hirschman, 1997)", "plainTextFormattedCitation" : "(Hirschman, 1997)", "previouslyFormattedCitation" : "(Hirschman, 1997)" }, "properties" : { "noteIndex" : 0 }, "schema" : "https://github.com/citation-style-language/schema/raw/master/csl-citation.json" }</w:instrText>
      </w:r>
      <w:r>
        <w:fldChar w:fldCharType="separate"/>
      </w:r>
      <w:r w:rsidRPr="00D56305">
        <w:rPr>
          <w:noProof/>
        </w:rPr>
        <w:t>(Hirschman, 1997)</w:t>
      </w:r>
      <w:r>
        <w:fldChar w:fldCharType="end"/>
      </w:r>
      <w:r>
        <w:t>.</w:t>
      </w:r>
    </w:p>
    <w:p w:rsidR="00C74DE9" w:rsidRDefault="00D56305">
      <w:r>
        <w:t>Referências:</w:t>
      </w:r>
    </w:p>
    <w:p w:rsidR="00D56305" w:rsidRPr="00D56305" w:rsidRDefault="00D56305" w:rsidP="00D5630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D56305">
        <w:rPr>
          <w:rFonts w:ascii="Calibri" w:hAnsi="Calibri" w:cs="Times New Roman"/>
          <w:noProof/>
          <w:szCs w:val="24"/>
        </w:rPr>
        <w:t xml:space="preserve">Burawoy, M. (2004). For a Sociological Marxism: The Complementary Convergence of Antonio Gramsci and Karl Polanyi. </w:t>
      </w:r>
      <w:r w:rsidRPr="00D56305">
        <w:rPr>
          <w:rFonts w:ascii="Calibri" w:hAnsi="Calibri" w:cs="Times New Roman"/>
          <w:i/>
          <w:iCs/>
          <w:noProof/>
          <w:szCs w:val="24"/>
        </w:rPr>
        <w:t>Politics &amp; Society</w:t>
      </w:r>
      <w:r w:rsidRPr="00D56305">
        <w:rPr>
          <w:rFonts w:ascii="Calibri" w:hAnsi="Calibri" w:cs="Times New Roman"/>
          <w:noProof/>
          <w:szCs w:val="24"/>
        </w:rPr>
        <w:t>, (31), 193–261. Retrieved from http://pas.sagepub.com/content/31/2/193.full.pdf</w:t>
      </w:r>
    </w:p>
    <w:p w:rsidR="00D56305" w:rsidRPr="00D56305" w:rsidRDefault="00D56305" w:rsidP="00D5630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D56305">
        <w:rPr>
          <w:rFonts w:ascii="Calibri" w:hAnsi="Calibri" w:cs="Times New Roman"/>
          <w:noProof/>
          <w:szCs w:val="24"/>
        </w:rPr>
        <w:t xml:space="preserve">Habermas, J. (1987). Tendencies toward Juridification. In </w:t>
      </w:r>
      <w:r w:rsidRPr="00D56305">
        <w:rPr>
          <w:rFonts w:ascii="Calibri" w:hAnsi="Calibri" w:cs="Times New Roman"/>
          <w:i/>
          <w:iCs/>
          <w:noProof/>
          <w:szCs w:val="24"/>
        </w:rPr>
        <w:t>The theory of Communicative Action</w:t>
      </w:r>
      <w:r w:rsidRPr="00D56305">
        <w:rPr>
          <w:rFonts w:ascii="Calibri" w:hAnsi="Calibri" w:cs="Times New Roman"/>
          <w:noProof/>
          <w:szCs w:val="24"/>
        </w:rPr>
        <w:t xml:space="preserve"> ([1981], pp. 356–373). Cambridge: Polity Press.</w:t>
      </w:r>
    </w:p>
    <w:p w:rsidR="00D56305" w:rsidRPr="00D56305" w:rsidRDefault="00D56305" w:rsidP="00D5630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D56305">
        <w:rPr>
          <w:rFonts w:ascii="Calibri" w:hAnsi="Calibri" w:cs="Times New Roman"/>
          <w:noProof/>
          <w:szCs w:val="24"/>
        </w:rPr>
        <w:t xml:space="preserve">Hirschman, A. O. (1997). </w:t>
      </w:r>
      <w:r w:rsidRPr="00D56305">
        <w:rPr>
          <w:rFonts w:ascii="Calibri" w:hAnsi="Calibri" w:cs="Times New Roman"/>
          <w:i/>
          <w:iCs/>
          <w:noProof/>
          <w:szCs w:val="24"/>
        </w:rPr>
        <w:t>As Paixões e os Interesses</w:t>
      </w:r>
      <w:r w:rsidRPr="00D56305">
        <w:rPr>
          <w:rFonts w:ascii="Calibri" w:hAnsi="Calibri" w:cs="Times New Roman"/>
          <w:noProof/>
          <w:szCs w:val="24"/>
        </w:rPr>
        <w:t>. Lisboa: Bizâncio.</w:t>
      </w:r>
    </w:p>
    <w:p w:rsidR="00D56305" w:rsidRPr="00D56305" w:rsidRDefault="00D56305" w:rsidP="00D5630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D56305">
        <w:rPr>
          <w:rFonts w:ascii="Calibri" w:hAnsi="Calibri" w:cs="Times New Roman"/>
          <w:noProof/>
          <w:szCs w:val="24"/>
        </w:rPr>
        <w:t xml:space="preserve">Lahire, B. (2012). </w:t>
      </w:r>
      <w:r w:rsidRPr="00D56305">
        <w:rPr>
          <w:rFonts w:ascii="Calibri" w:hAnsi="Calibri" w:cs="Times New Roman"/>
          <w:i/>
          <w:iCs/>
          <w:noProof/>
          <w:szCs w:val="24"/>
        </w:rPr>
        <w:t>Monde pluriel. Penser l’unité des sciences sociales</w:t>
      </w:r>
      <w:r w:rsidRPr="00D56305">
        <w:rPr>
          <w:rFonts w:ascii="Calibri" w:hAnsi="Calibri" w:cs="Times New Roman"/>
          <w:noProof/>
          <w:szCs w:val="24"/>
        </w:rPr>
        <w:t xml:space="preserve"> (Couleur de). Paris: Seuil.</w:t>
      </w:r>
    </w:p>
    <w:p w:rsidR="00D56305" w:rsidRPr="00D56305" w:rsidRDefault="00D56305" w:rsidP="00D5630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D56305">
        <w:rPr>
          <w:rFonts w:ascii="Calibri" w:hAnsi="Calibri" w:cs="Times New Roman"/>
          <w:noProof/>
          <w:szCs w:val="24"/>
        </w:rPr>
        <w:lastRenderedPageBreak/>
        <w:t xml:space="preserve">Latour, B. (2007). </w:t>
      </w:r>
      <w:r w:rsidRPr="00D56305">
        <w:rPr>
          <w:rFonts w:ascii="Calibri" w:hAnsi="Calibri" w:cs="Times New Roman"/>
          <w:i/>
          <w:iCs/>
          <w:noProof/>
          <w:szCs w:val="24"/>
        </w:rPr>
        <w:t>Changer de société, refaire de la sociologie</w:t>
      </w:r>
      <w:r w:rsidRPr="00D56305">
        <w:rPr>
          <w:rFonts w:ascii="Calibri" w:hAnsi="Calibri" w:cs="Times New Roman"/>
          <w:noProof/>
          <w:szCs w:val="24"/>
        </w:rPr>
        <w:t>. Paris: La Découverte.</w:t>
      </w:r>
    </w:p>
    <w:p w:rsidR="00D56305" w:rsidRPr="00D56305" w:rsidRDefault="00D56305" w:rsidP="00D5630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D56305">
        <w:rPr>
          <w:rFonts w:ascii="Calibri" w:hAnsi="Calibri" w:cs="Times New Roman"/>
          <w:noProof/>
          <w:szCs w:val="24"/>
        </w:rPr>
        <w:t xml:space="preserve">Malešević, S. (2010). </w:t>
      </w:r>
      <w:r w:rsidRPr="00D56305">
        <w:rPr>
          <w:rFonts w:ascii="Calibri" w:hAnsi="Calibri" w:cs="Times New Roman"/>
          <w:i/>
          <w:iCs/>
          <w:noProof/>
          <w:szCs w:val="24"/>
        </w:rPr>
        <w:t>The Sociology of War and Violence</w:t>
      </w:r>
      <w:r w:rsidRPr="00D56305">
        <w:rPr>
          <w:rFonts w:ascii="Calibri" w:hAnsi="Calibri" w:cs="Times New Roman"/>
          <w:noProof/>
          <w:szCs w:val="24"/>
        </w:rPr>
        <w:t>. Cambridge: Cambridge University Press.</w:t>
      </w:r>
    </w:p>
    <w:p w:rsidR="00D56305" w:rsidRPr="00D56305" w:rsidRDefault="00D56305" w:rsidP="00D5630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Times New Roman"/>
          <w:noProof/>
          <w:szCs w:val="24"/>
        </w:rPr>
      </w:pPr>
      <w:r w:rsidRPr="00D56305">
        <w:rPr>
          <w:rFonts w:ascii="Calibri" w:hAnsi="Calibri" w:cs="Times New Roman"/>
          <w:noProof/>
          <w:szCs w:val="24"/>
        </w:rPr>
        <w:t xml:space="preserve">Therborn, G. (2006). Meaning, Mechanisms, Patterns and Forces: an Introduction. In G. Therborn (Ed.), </w:t>
      </w:r>
      <w:r w:rsidRPr="00D56305">
        <w:rPr>
          <w:rFonts w:ascii="Calibri" w:hAnsi="Calibri" w:cs="Times New Roman"/>
          <w:i/>
          <w:iCs/>
          <w:noProof/>
          <w:szCs w:val="24"/>
        </w:rPr>
        <w:t>Inequalities of the World – New Theoretical Frameworks, Multiple empirical approaches</w:t>
      </w:r>
      <w:r w:rsidRPr="00D56305">
        <w:rPr>
          <w:rFonts w:ascii="Calibri" w:hAnsi="Calibri" w:cs="Times New Roman"/>
          <w:noProof/>
          <w:szCs w:val="24"/>
        </w:rPr>
        <w:t xml:space="preserve"> (pp. 1–58). London: Verso.</w:t>
      </w:r>
    </w:p>
    <w:p w:rsidR="00D56305" w:rsidRPr="00D56305" w:rsidRDefault="00D56305" w:rsidP="00D5630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/>
          <w:noProof/>
        </w:rPr>
      </w:pPr>
      <w:r w:rsidRPr="00D56305">
        <w:rPr>
          <w:rFonts w:ascii="Calibri" w:hAnsi="Calibri" w:cs="Times New Roman"/>
          <w:noProof/>
          <w:szCs w:val="24"/>
        </w:rPr>
        <w:t xml:space="preserve">Wieviorka, M. (2005). </w:t>
      </w:r>
      <w:r w:rsidRPr="00D56305">
        <w:rPr>
          <w:rFonts w:ascii="Calibri" w:hAnsi="Calibri" w:cs="Times New Roman"/>
          <w:i/>
          <w:iCs/>
          <w:noProof/>
          <w:szCs w:val="24"/>
        </w:rPr>
        <w:t>La Violence</w:t>
      </w:r>
      <w:r w:rsidRPr="00D56305">
        <w:rPr>
          <w:rFonts w:ascii="Calibri" w:hAnsi="Calibri" w:cs="Times New Roman"/>
          <w:noProof/>
          <w:szCs w:val="24"/>
        </w:rPr>
        <w:t>. Paris: Hachette Littératures.</w:t>
      </w:r>
    </w:p>
    <w:p w:rsidR="00D56305" w:rsidRDefault="00D56305">
      <w:r>
        <w:fldChar w:fldCharType="end"/>
      </w:r>
    </w:p>
    <w:sectPr w:rsidR="00D56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05"/>
    <w:rsid w:val="00C74DE9"/>
    <w:rsid w:val="00D5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0D6B"/>
  <w15:chartTrackingRefBased/>
  <w15:docId w15:val="{21997B3E-E444-433C-959E-05576AAC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6305"/>
    <w:pPr>
      <w:spacing w:after="160"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6A78B-1B70-4412-8668-9F683DA5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1773</Words>
  <Characters>9575</Characters>
  <Application>Microsoft Office Word</Application>
  <DocSecurity>0</DocSecurity>
  <Lines>79</Lines>
  <Paragraphs>22</Paragraphs>
  <ScaleCrop>false</ScaleCrop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Dores</dc:creator>
  <cp:keywords/>
  <dc:description/>
  <cp:lastModifiedBy>Antonio Dores</cp:lastModifiedBy>
  <cp:revision>1</cp:revision>
  <dcterms:created xsi:type="dcterms:W3CDTF">2017-08-14T08:16:00Z</dcterms:created>
  <dcterms:modified xsi:type="dcterms:W3CDTF">2017-08-14T08:17:00Z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6a86be35-736d-3b6b-bca5-b0a474a8a1c6</vt:lpwstr>
  </property>
</Properties>
</file>