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33" w:rsidRDefault="00671533" w:rsidP="00A00E5F">
      <w:r w:rsidRPr="00671533">
        <w:t>A emergência e evolução da sociedade</w:t>
      </w:r>
      <w:r w:rsidR="00ED557B">
        <w:t xml:space="preserve"> (notas sumário 1)</w:t>
      </w:r>
      <w:bookmarkStart w:id="0" w:name="_GoBack"/>
      <w:bookmarkEnd w:id="0"/>
    </w:p>
    <w:p w:rsidR="00163DEA" w:rsidRDefault="00163DEA">
      <w:r>
        <w:t xml:space="preserve">É Comte quem primeiro usa a palavra sociologia, nas primeiras décadas do século XIX. Com ela ele queria designar a utilização útil </w:t>
      </w:r>
      <w:r w:rsidR="00966325">
        <w:t xml:space="preserve">e integrada </w:t>
      </w:r>
      <w:r>
        <w:t xml:space="preserve">de todos os saberes científicos, da física, da química da biologia, com vista a acabar com as disputas de prestígio (política partidária - </w:t>
      </w:r>
      <w:proofErr w:type="spellStart"/>
      <w:r w:rsidRPr="00163DEA">
        <w:rPr>
          <w:i/>
        </w:rPr>
        <w:t>politics</w:t>
      </w:r>
      <w:proofErr w:type="spellEnd"/>
      <w:r>
        <w:t>) e, em vez disso, tratar das questões práticas que permitem viver melhor (</w:t>
      </w:r>
      <w:proofErr w:type="spellStart"/>
      <w:r w:rsidRPr="00163DEA">
        <w:rPr>
          <w:i/>
        </w:rPr>
        <w:t>policy</w:t>
      </w:r>
      <w:proofErr w:type="spellEnd"/>
      <w:r>
        <w:t>, políticas públicas).</w:t>
      </w:r>
    </w:p>
    <w:p w:rsidR="00163DEA" w:rsidRDefault="00163DEA">
      <w:r>
        <w:t xml:space="preserve">Só no final do século a expressão sociologia volta a ser usada. É Durkheim quem propõe e consegue obter a primeira cátedra em sociologia, em 1904. Contemporâneo de Max Weber, ambos foram consagrados figuras dominantes na fundação da sociologia, sobretudo a partir da sua tradução para inglês por </w:t>
      </w:r>
      <w:proofErr w:type="spellStart"/>
      <w:r>
        <w:t>Talcott</w:t>
      </w:r>
      <w:proofErr w:type="spellEnd"/>
      <w:r>
        <w:t xml:space="preserve"> </w:t>
      </w:r>
      <w:proofErr w:type="spellStart"/>
      <w:r>
        <w:t>Parsons</w:t>
      </w:r>
      <w:proofErr w:type="spellEnd"/>
      <w:r>
        <w:t xml:space="preserve"> – que introduziu as suas obras nos EUA, numa época em que a Europa se destruía através de duas Guerra Mundiais.</w:t>
      </w:r>
    </w:p>
    <w:p w:rsidR="00163DEA" w:rsidRDefault="00163DEA">
      <w:r>
        <w:t xml:space="preserve">Porque é que a sociologia surge nos </w:t>
      </w:r>
      <w:proofErr w:type="gramStart"/>
      <w:r>
        <w:t>últimos cento</w:t>
      </w:r>
      <w:proofErr w:type="gramEnd"/>
      <w:r>
        <w:t xml:space="preserve"> e cinquenta anos e não antes? A que é que a sociologia responde? O que é a sociedade que nos quer apresentar?</w:t>
      </w:r>
    </w:p>
    <w:p w:rsidR="00163DEA" w:rsidRDefault="00163DEA">
      <w:r>
        <w:t xml:space="preserve">Depois da Revolução Francesa, </w:t>
      </w:r>
      <w:r w:rsidR="00024FCA">
        <w:t>houve a tentativa de instalar a república em toda a Europa. Por isso</w:t>
      </w:r>
      <w:r w:rsidR="00966325">
        <w:t xml:space="preserve"> (</w:t>
      </w:r>
      <w:proofErr w:type="gramStart"/>
      <w:r w:rsidR="00966325">
        <w:t>ou</w:t>
      </w:r>
      <w:proofErr w:type="gramEnd"/>
      <w:r w:rsidR="00966325">
        <w:t xml:space="preserve"> porém)</w:t>
      </w:r>
      <w:r w:rsidR="00024FCA">
        <w:t xml:space="preserve"> ela se tornou em Império. Por duas vezes. Uma vez como tragédia e outra como farsa, como escreveu Marx no “18 Brumário”. Não se pode resumir a história da Europa ou da França assim. Mas podemos chamar a atenção para as grandes crises registadas e para algumas das suas consequências mais evidentes</w:t>
      </w:r>
      <w:r w:rsidR="00966325">
        <w:t xml:space="preserve"> ao nível da organização social</w:t>
      </w:r>
      <w:r w:rsidR="00024FCA">
        <w:t xml:space="preserve">. </w:t>
      </w:r>
    </w:p>
    <w:p w:rsidR="00024FCA" w:rsidRDefault="00024FCA">
      <w:r>
        <w:t xml:space="preserve">1845 é ano de crise financeira e 1848 é ano das revoluções espontâneas em muitos dos países do centro norte da Europa e também em França. A doença da batata, entretanto importada das Américas, e base da alimentação dos mais pobres, deixou à fome grande parte da população. Os senhores e os estados não estavam em condições de responder às necessidades. Nem sequer tinham ideia do que se estaria a passar (eles viviam noutro mundo, digamos assim). A repressão foi brutal e todos os focos de revolta foram contidos. </w:t>
      </w:r>
    </w:p>
    <w:p w:rsidR="00024FCA" w:rsidRDefault="00024FCA">
      <w:r>
        <w:t xml:space="preserve">Para Marx e Engels, autores do </w:t>
      </w:r>
      <w:r w:rsidRPr="00024FCA">
        <w:rPr>
          <w:i/>
        </w:rPr>
        <w:t>Manifesto do Partido Comunista</w:t>
      </w:r>
      <w:r>
        <w:t>, esse ano foi</w:t>
      </w:r>
      <w:r w:rsidR="00EC6D77">
        <w:t xml:space="preserve"> um ano de esperança. Porquê?</w:t>
      </w:r>
    </w:p>
    <w:p w:rsidR="00EC6D77" w:rsidRDefault="00966325">
      <w:r>
        <w:t>Estes a</w:t>
      </w:r>
      <w:r w:rsidR="00EC6D77">
        <w:t xml:space="preserve">utores alemães, </w:t>
      </w:r>
      <w:r>
        <w:t>desejavam para</w:t>
      </w:r>
      <w:r w:rsidR="00EC6D77">
        <w:t xml:space="preserve"> a Alemanha </w:t>
      </w:r>
      <w:r>
        <w:t xml:space="preserve">uma sociedade racionalmente organizada que permitisse a todos uma vida tranquila e feliz. Não aceitavam a predominância dos interesses dos aristocratas e dos burgueses que criavam dificuldades à vida dos restantes. Aspirações </w:t>
      </w:r>
      <w:r w:rsidR="00EC6D77">
        <w:t xml:space="preserve">a </w:t>
      </w:r>
      <w:r>
        <w:t xml:space="preserve">uma república em que os princípios fossem </w:t>
      </w:r>
      <w:proofErr w:type="spellStart"/>
      <w:r>
        <w:t>efectivamente</w:t>
      </w:r>
      <w:proofErr w:type="spellEnd"/>
      <w:r>
        <w:t xml:space="preserve"> realizados – igualdade cívica </w:t>
      </w:r>
      <w:r w:rsidR="00EC6D77">
        <w:t xml:space="preserve">e </w:t>
      </w:r>
      <w:r>
        <w:t xml:space="preserve">bem-estar, isto é, </w:t>
      </w:r>
      <w:r w:rsidR="00EC6D77">
        <w:t xml:space="preserve">potenciar a capacidade produtiva para evitar os riscos de miséria sempre presentes. Viam nas aspirações socialistas em França uma boa solução de igualdade e na capacidade industrial inglesa a solução dos problemas económicos. </w:t>
      </w:r>
    </w:p>
    <w:p w:rsidR="00EC6D77" w:rsidRDefault="00EC6D77">
      <w:r>
        <w:t>Viviam num mundo muito diferente daquele que hoje vivemos. A independência dos EUA, antiga colónia, não tinha cem anos e os transportes eram ainda de charrete puxada a cavalos. Não havia telemóveis nem estradas alcatroadas. Só no final do século XIX os países europeus se irão reunir para organizar a exploração mais intensa das colónias, antes mais ou menos abandonada aos aventureiros.</w:t>
      </w:r>
    </w:p>
    <w:p w:rsidR="00EC6D77" w:rsidRDefault="00EC6D77">
      <w:r>
        <w:t>Os autores revolucionários esperavam que a revolução da liberdade, igualdade e fraternidade pudesse continuar, apesar de assaltada por gente que se quer manter no poder e rep</w:t>
      </w:r>
      <w:r w:rsidR="00966325">
        <w:t>roduzir privilégios do passado</w:t>
      </w:r>
      <w:r>
        <w:t xml:space="preserve">. As revoltas espontâneas </w:t>
      </w:r>
      <w:r w:rsidR="00966325">
        <w:t xml:space="preserve">de 1848 </w:t>
      </w:r>
      <w:r>
        <w:t xml:space="preserve">em tantos países na Europa deram alento aos revolucionários. Era a oportunidade de transformação social porque ansiavam. </w:t>
      </w:r>
      <w:r w:rsidR="00966325">
        <w:t xml:space="preserve">À semelhança da Revolução Francesa, sessenta anos antes. </w:t>
      </w:r>
      <w:r>
        <w:t>Pensaram que deveriam deix</w:t>
      </w:r>
      <w:r w:rsidR="00A00E5F">
        <w:t xml:space="preserve">ar de </w:t>
      </w:r>
      <w:r w:rsidR="00A00E5F">
        <w:lastRenderedPageBreak/>
        <w:t>esperar dos aristocratas ou burgueses</w:t>
      </w:r>
      <w:r>
        <w:t xml:space="preserve"> a orientação para as mudanças que a sociedade precisava. Acreditaram e viram a mobilização do proletariado, literalmente, os filhos dos servos. </w:t>
      </w:r>
      <w:r w:rsidR="00875E18">
        <w:t xml:space="preserve">A nova geração queria passar a ser ela a ter em mãos os seus destinos, isto é, os alimentos de reserva para lhes poderem acudir em caso de necessidade. Dá-los aos senhores que depois os destroem ou não disponibilizam quando há fome tinha-se revelado má política. E por isso todos passam mal: uns na </w:t>
      </w:r>
      <w:proofErr w:type="spellStart"/>
      <w:r w:rsidR="00875E18">
        <w:t>perspectiva</w:t>
      </w:r>
      <w:proofErr w:type="spellEnd"/>
      <w:r w:rsidR="00875E18">
        <w:t xml:space="preserve"> de fome até novas colheitas. Outros por terem de reprimir com brutalidade os povos sob a sua tutela. </w:t>
      </w:r>
    </w:p>
    <w:p w:rsidR="00875E18" w:rsidRDefault="00875E18">
      <w:r>
        <w:t xml:space="preserve">A evolução da situação fez-se sob a orientação de duas </w:t>
      </w:r>
      <w:proofErr w:type="spellStart"/>
      <w:r>
        <w:t>perspectivas</w:t>
      </w:r>
      <w:proofErr w:type="spellEnd"/>
      <w:r>
        <w:t xml:space="preserve"> distintas: a) a luta de classes, que opunha os aristocratas e a burguesia ao proletariado organizado para </w:t>
      </w:r>
      <w:r w:rsidR="00A00E5F">
        <w:t>tentar as</w:t>
      </w:r>
      <w:r>
        <w:t>segur</w:t>
      </w:r>
      <w:r w:rsidR="00A00E5F">
        <w:t>ar os meios da sua</w:t>
      </w:r>
      <w:r>
        <w:t xml:space="preserve"> sobrevivência, incluindo reclamar melhores salários</w:t>
      </w:r>
      <w:r w:rsidR="00A00E5F">
        <w:t xml:space="preserve"> na indústria, fim da servidão nos campos</w:t>
      </w:r>
      <w:r>
        <w:t>; b) a emergência das nações e das corporações, em que os interesses comuns juntam pessoas de muito diferentes condições económicas na mesma comunidade – a nação</w:t>
      </w:r>
      <w:r w:rsidR="00A00E5F">
        <w:t>, sob a tutela do estado</w:t>
      </w:r>
      <w:r>
        <w:t xml:space="preserve">. Antes disso os proletários não tinham tanta força e não eram uma ameaça ao poder. Os negócios eram questões privadas e de mau tom tratar em sociedade (eram problemas de capatazes e trabalhadores). Os sindicatos passaram a ser uma força social importante e crescente e os negócios passaram a estar integrados em economias nacionais.  </w:t>
      </w:r>
    </w:p>
    <w:p w:rsidR="00875E18" w:rsidRDefault="00875E18">
      <w:r>
        <w:t>Pode dizer-se que a crise 1845-48 foi a parteira das nações, dos estado-nação.</w:t>
      </w:r>
    </w:p>
    <w:p w:rsidR="00875E18" w:rsidRDefault="00A00E5F">
      <w:r>
        <w:t>Sessenta e cinco anos depois, q</w:t>
      </w:r>
      <w:r w:rsidR="00843A3A">
        <w:t xml:space="preserve">uando rebenta a primeira guerra mundial o dilema entre a luta de classes e a unidade nacional continuava vivo. Os bolcheviques, partidários da luta de classes, tomaram o Império Russo, atrapalhado com o esforço de guerra (1914-18), em 1917. E inicia-se o pequeno século XX (Eric </w:t>
      </w:r>
      <w:proofErr w:type="spellStart"/>
      <w:r w:rsidR="00843A3A">
        <w:t>Hobsbawn</w:t>
      </w:r>
      <w:proofErr w:type="spellEnd"/>
      <w:r w:rsidR="00843A3A">
        <w:t xml:space="preserve">, 1994, </w:t>
      </w:r>
      <w:proofErr w:type="spellStart"/>
      <w:r w:rsidR="00843A3A" w:rsidRPr="00843A3A">
        <w:rPr>
          <w:i/>
        </w:rPr>
        <w:t>The</w:t>
      </w:r>
      <w:proofErr w:type="spellEnd"/>
      <w:r w:rsidR="00843A3A" w:rsidRPr="00843A3A">
        <w:rPr>
          <w:i/>
        </w:rPr>
        <w:t xml:space="preserve"> Age os Extremes</w:t>
      </w:r>
      <w:r w:rsidR="00843A3A">
        <w:t xml:space="preserve">). </w:t>
      </w:r>
      <w:r w:rsidR="006830AE">
        <w:t xml:space="preserve">Inicia-se sob a viragem, digamos assim, das orientações socialistas de uma visão de luta de classes </w:t>
      </w:r>
      <w:r>
        <w:t>internacionalista</w:t>
      </w:r>
      <w:r w:rsidR="006830AE">
        <w:t xml:space="preserve"> (</w:t>
      </w:r>
      <w:r>
        <w:t>culminada n</w:t>
      </w:r>
      <w:r w:rsidR="006830AE">
        <w:t>a mítica greve geral) para uma estratégia de “socialismo num só país”, em guerra. Que veio a durar até 1945.</w:t>
      </w:r>
    </w:p>
    <w:p w:rsidR="006830AE" w:rsidRDefault="006830AE">
      <w:r>
        <w:t xml:space="preserve">Os EUA, protegidos pela distância da confusão que se viveu na Europa, com a crise de 1929, a falência da bolsa de valores, ficou claro que o problema não era apenas os desejos bélicos dos </w:t>
      </w:r>
      <w:r w:rsidR="00A00E5F">
        <w:t xml:space="preserve">aristocratas, </w:t>
      </w:r>
      <w:r>
        <w:t xml:space="preserve">militares e chefes de estado que não deixavam as pessoas sossegadas a viver em paz. Era também o modo de organização da economia, a economia do lucro, que deixou milhões de trabalhadores sem sustento. A divisão de trabalho </w:t>
      </w:r>
      <w:r w:rsidR="00A00E5F">
        <w:t xml:space="preserve">organizada pelos industriais </w:t>
      </w:r>
      <w:r w:rsidR="00A00E5F">
        <w:t>era muito arriscada</w:t>
      </w:r>
      <w:r w:rsidR="00A00E5F">
        <w:t xml:space="preserve"> para a vida das pessoas</w:t>
      </w:r>
      <w:r>
        <w:t xml:space="preserve">. Quem não tinha modo de sobreviver a não ser do seu trabalho, arriscava-se a morrer de fome no desemprego. </w:t>
      </w:r>
    </w:p>
    <w:p w:rsidR="004F56EC" w:rsidRDefault="004F56EC">
      <w:r>
        <w:t>A</w:t>
      </w:r>
      <w:r w:rsidR="006830AE">
        <w:t xml:space="preserve"> Alemanha de Bismark, no fim do século XIX, </w:t>
      </w:r>
      <w:r>
        <w:t xml:space="preserve">já tinha respondido a esta questão, através do estado social: </w:t>
      </w:r>
      <w:r w:rsidR="006830AE">
        <w:t xml:space="preserve">garantias estatais para que a alimentação não faltasse nem os bens essenciais à sobrevivência, de modo a evitar novas revoltas como as de 1948. </w:t>
      </w:r>
      <w:r w:rsidR="00662A4A">
        <w:t xml:space="preserve">A unidade nacional fazia-se pela concertação industrial, mas também pela concertação social com os trabalhadores. Nos anos 30, para combater a miséria e a situação de alarme social nos EUA, o New </w:t>
      </w:r>
      <w:proofErr w:type="spellStart"/>
      <w:r w:rsidR="00662A4A">
        <w:t>Deal</w:t>
      </w:r>
      <w:proofErr w:type="spellEnd"/>
      <w:r w:rsidR="00662A4A">
        <w:t xml:space="preserve">, o novo contrato, seguiu </w:t>
      </w:r>
      <w:r>
        <w:t xml:space="preserve">uma ideia de desenvolvimento baseado no investimento do estado em infraestruturas urbanas e rodoviárias – o automóvel </w:t>
      </w:r>
      <w:r>
        <w:t xml:space="preserve">e o petróleo </w:t>
      </w:r>
      <w:r>
        <w:t xml:space="preserve">tornaram-se as indústrias centrais que ainda hoje são. A Alemanha, que estava presa às penalizações de guerra, ficou impedida de acompanhar a nova estratégia (sem recursos de investimento). A Segunda Grande Guerra foi outra vez perdida pela Alemanha, mas possibilitou o alívio do peso da dívida de guerra, pois os termos da paz foram pensados de outra forma. O estado social foi retomado e serviu de modelo à reconstrução da Europa pós-guerra. Com apoio do Plano Marshall, norte-americano. </w:t>
      </w:r>
    </w:p>
    <w:p w:rsidR="00662A4A" w:rsidRDefault="00662A4A">
      <w:r>
        <w:lastRenderedPageBreak/>
        <w:t xml:space="preserve">Entretanto, a crise económica e política gerada pela 1ª Grande Guerra, a expansão da exploração das colónias, e da continuidade da competição entre os estados europeus, resulta a 2ª Grande Guerra, que destrói definitivamente a primazia secular do Império britânico. Saem como superpotências nacionais os EUA e a União Soviética que vão protagonizar a </w:t>
      </w:r>
      <w:r w:rsidR="004F56EC">
        <w:t>Gu</w:t>
      </w:r>
      <w:r>
        <w:t>erra Fria até à implosão da última, em 1989.</w:t>
      </w:r>
    </w:p>
    <w:p w:rsidR="00662A4A" w:rsidRDefault="00662A4A">
      <w:r>
        <w:t xml:space="preserve">À criação de nações, seguiu-se um tempo de lutas entre estados </w:t>
      </w:r>
      <w:r w:rsidR="004F56EC">
        <w:t xml:space="preserve">nacionais </w:t>
      </w:r>
      <w:r>
        <w:t xml:space="preserve">que as representavam até à formação de dois impérios: um capitalista pró-liberdades e um socialista/comunista pró-igualdades. </w:t>
      </w:r>
      <w:r w:rsidR="004F56EC">
        <w:t xml:space="preserve">Confirmando na prática a profecia de </w:t>
      </w:r>
      <w:proofErr w:type="spellStart"/>
      <w:r w:rsidR="004F56EC">
        <w:t>Tocqueville</w:t>
      </w:r>
      <w:proofErr w:type="spellEnd"/>
      <w:r w:rsidR="004F56EC">
        <w:t xml:space="preserve"> sobre a difícil compatibilidade destes dois princípios republicanos. </w:t>
      </w:r>
      <w:r>
        <w:t>Com a implosão da URSS, os EUA ficam a única superpotência</w:t>
      </w:r>
      <w:r w:rsidR="004F56EC">
        <w:t xml:space="preserve">. Com dificuldade em </w:t>
      </w:r>
      <w:r>
        <w:t>cumprir o papel imperial, tornam-se polícias do mundo. As nações e os seus estados começam a organizar-se regionalmente, de modo a poderem defender-se das políticas de globalização, d</w:t>
      </w:r>
      <w:r w:rsidR="004F56EC">
        <w:t>a</w:t>
      </w:r>
      <w:r>
        <w:t xml:space="preserve"> hegemonia dos EUA. Políticas que geraram uma crise em 2008: o sistema financeiro global faliu. </w:t>
      </w:r>
      <w:r w:rsidR="00FF034B">
        <w:t xml:space="preserve">Com </w:t>
      </w:r>
      <w:proofErr w:type="spellStart"/>
      <w:r w:rsidR="00FF034B">
        <w:t>Trump</w:t>
      </w:r>
      <w:proofErr w:type="spellEnd"/>
      <w:r w:rsidR="00FF034B">
        <w:t xml:space="preserve">, </w:t>
      </w:r>
      <w:r w:rsidR="004F56EC">
        <w:t xml:space="preserve">em 2017, </w:t>
      </w:r>
      <w:r w:rsidR="00FF034B">
        <w:t xml:space="preserve">os EUA querem abandonar o </w:t>
      </w:r>
      <w:proofErr w:type="spellStart"/>
      <w:r w:rsidR="00FF034B">
        <w:t>projecto</w:t>
      </w:r>
      <w:proofErr w:type="spellEnd"/>
      <w:r w:rsidR="00FF034B">
        <w:t xml:space="preserve"> de globalização em que se comprometeram e que, afinal, não deu os frutos de hegemonia que previam (outros, como a China ou a Rússia, mantêm ou ganharam mais poder com a global</w:t>
      </w:r>
      <w:r w:rsidR="004F56EC">
        <w:t>ização:</w:t>
      </w:r>
      <w:r w:rsidR="00FF034B">
        <w:t xml:space="preserve"> a vantagem comparativa das armas, sem dúvida norte-americana</w:t>
      </w:r>
      <w:r w:rsidR="00B50B12">
        <w:t>, é um seguro de poder. Mas sem capacidade competitiva a nível económico e com vários poderes atómicos no mundo, os EUA procuram baixar responsabilidades e expectativas, fora e dentro do país</w:t>
      </w:r>
      <w:r w:rsidR="00FF034B">
        <w:t>).</w:t>
      </w:r>
    </w:p>
    <w:p w:rsidR="00FF034B" w:rsidRDefault="00FF034B">
      <w:r>
        <w:t xml:space="preserve">Marx referiu-se à sociedade de classes, útil para descrever as revoltas de 1848. No fim do século XIX e no início do século XX, Durkheim e Weber viram nações agrupadas </w:t>
      </w:r>
      <w:r w:rsidR="00B50B12">
        <w:t>em</w:t>
      </w:r>
      <w:r>
        <w:t xml:space="preserve"> estados que as formaram e educaram. Fundaram uma ciência capaz de identificar esse </w:t>
      </w:r>
      <w:proofErr w:type="spellStart"/>
      <w:r>
        <w:t>objecto</w:t>
      </w:r>
      <w:proofErr w:type="spellEnd"/>
      <w:r>
        <w:t xml:space="preserve"> de estudo: chamaram-lhe sociedade. </w:t>
      </w:r>
    </w:p>
    <w:p w:rsidR="00FF034B" w:rsidRDefault="00FF034B">
      <w:r>
        <w:t>Durkheim explicou que se tratava d</w:t>
      </w:r>
      <w:r w:rsidR="00B50B12">
        <w:t>o resultado d</w:t>
      </w:r>
      <w:r>
        <w:t xml:space="preserve">e uma </w:t>
      </w:r>
      <w:r w:rsidR="00B50B12">
        <w:t xml:space="preserve">nova </w:t>
      </w:r>
      <w:r>
        <w:t xml:space="preserve">consciência </w:t>
      </w:r>
      <w:r w:rsidR="00B50B12">
        <w:t xml:space="preserve">(solidariedade orgânica) que resultava em </w:t>
      </w:r>
      <w:proofErr w:type="spellStart"/>
      <w:r w:rsidR="00B50B12">
        <w:t>coersão</w:t>
      </w:r>
      <w:proofErr w:type="spellEnd"/>
      <w:r w:rsidR="00B50B12">
        <w:t xml:space="preserve"> para </w:t>
      </w:r>
      <w:r>
        <w:t>os indivíduos</w:t>
      </w:r>
      <w:r w:rsidR="00B50B12">
        <w:t xml:space="preserve"> que se quisessem integrar na sociedade</w:t>
      </w:r>
      <w:r>
        <w:t xml:space="preserve">. Cada pessoa tem a sua consciência individual. Sobretudo por educação, mas também por ter informação das indicações dos tribunais e outras autoridades, a sociedade é a ordem que permite distribuir por todos praticamente da mesma maneira a consciência </w:t>
      </w:r>
      <w:proofErr w:type="spellStart"/>
      <w:r>
        <w:t>colectiva</w:t>
      </w:r>
      <w:proofErr w:type="spellEnd"/>
      <w:r>
        <w:t xml:space="preserve"> que nos obriga. Não se trata sempre nem sobretudo pela força que as pessoas são conduzidas a comportar-se em sociedade. Trata-se de uma razão de solidariedade: reconhece</w:t>
      </w:r>
      <w:r w:rsidR="00B50B12">
        <w:t>r e</w:t>
      </w:r>
      <w:r>
        <w:t xml:space="preserve"> adapta</w:t>
      </w:r>
      <w:r w:rsidR="00B50B12">
        <w:t>r-se (sacrificar-se, se necessário)</w:t>
      </w:r>
      <w:r>
        <w:t xml:space="preserve"> às vantagens da divisão de trabalho. </w:t>
      </w:r>
    </w:p>
    <w:p w:rsidR="00FF034B" w:rsidRDefault="00FF034B">
      <w:r>
        <w:t xml:space="preserve">Max Weber, por seu lado, </w:t>
      </w:r>
      <w:r w:rsidR="00B50B12">
        <w:t>notou sobretudo o individualismo que o estado nação proporcionava – o que lhe parecia uma coisa boa. A</w:t>
      </w:r>
      <w:r>
        <w:t xml:space="preserve"> sociedade </w:t>
      </w:r>
      <w:r w:rsidR="00B50B12">
        <w:t>estava a</w:t>
      </w:r>
      <w:r>
        <w:t xml:space="preserve"> formasse </w:t>
      </w:r>
      <w:r w:rsidR="00B50B12">
        <w:t xml:space="preserve">para garantir </w:t>
      </w:r>
      <w:r>
        <w:t>a liberdade das pessoas. Cada um, aparentemente e ao contrário do que disse Dur</w:t>
      </w:r>
      <w:r w:rsidR="003F3529">
        <w:t>k</w:t>
      </w:r>
      <w:r>
        <w:t xml:space="preserve">heim, é livre de fazer o que entende. </w:t>
      </w:r>
      <w:r w:rsidR="00B50B12">
        <w:t>A coerção é apenas contra os prevaricadores ou oposicionistas. T</w:t>
      </w:r>
      <w:r>
        <w:t>odos e cada um</w:t>
      </w:r>
      <w:r w:rsidR="00B50B12">
        <w:t xml:space="preserve">, em geral, são livres. Procuram, experimentem e repetem </w:t>
      </w:r>
      <w:proofErr w:type="spellStart"/>
      <w:r w:rsidR="00B50B12">
        <w:t>actos</w:t>
      </w:r>
      <w:proofErr w:type="spellEnd"/>
      <w:r w:rsidR="00B50B12">
        <w:t xml:space="preserve"> com finalidades atribuídas: umas vezes por tradição e hábito, outras vezes por ponderação dos interesses próprios e das suas famílias, outras vezes por raciocínios sobre os efeitos práticos que podem ser obtidos através da indução nos outros de certas </w:t>
      </w:r>
      <w:proofErr w:type="spellStart"/>
      <w:r w:rsidR="00B50B12">
        <w:t>acções</w:t>
      </w:r>
      <w:proofErr w:type="spellEnd"/>
      <w:r w:rsidR="00B50B12">
        <w:t xml:space="preserve"> que, na volta, acabam por favorecer quem manipula a </w:t>
      </w:r>
      <w:proofErr w:type="spellStart"/>
      <w:r w:rsidR="00B50B12">
        <w:t>acção</w:t>
      </w:r>
      <w:proofErr w:type="spellEnd"/>
      <w:r w:rsidR="00B50B12">
        <w:t>. A</w:t>
      </w:r>
      <w:r>
        <w:t xml:space="preserve">s </w:t>
      </w:r>
      <w:proofErr w:type="spellStart"/>
      <w:r w:rsidR="00B50B12">
        <w:t>acções</w:t>
      </w:r>
      <w:proofErr w:type="spellEnd"/>
      <w:r w:rsidR="00B50B12">
        <w:t xml:space="preserve"> das pessoas têm sentidos e isso, </w:t>
      </w:r>
      <w:proofErr w:type="spellStart"/>
      <w:r w:rsidR="00B50B12">
        <w:t>acções</w:t>
      </w:r>
      <w:proofErr w:type="spellEnd"/>
      <w:r w:rsidR="00B50B12">
        <w:t xml:space="preserve"> e sentidos atribuídos – com acerto ou sem ele -, têm consequências sociais no jogo que estabelecem com as </w:t>
      </w:r>
      <w:proofErr w:type="spellStart"/>
      <w:r w:rsidR="00B50B12">
        <w:t>acções</w:t>
      </w:r>
      <w:proofErr w:type="spellEnd"/>
      <w:r w:rsidR="00B50B12">
        <w:t xml:space="preserve"> alheias. </w:t>
      </w:r>
      <w:r w:rsidR="004E467B">
        <w:t xml:space="preserve">Os </w:t>
      </w:r>
      <w:r>
        <w:t>sentido</w:t>
      </w:r>
      <w:r w:rsidR="004E467B">
        <w:t>s</w:t>
      </w:r>
      <w:r>
        <w:t xml:space="preserve"> </w:t>
      </w:r>
      <w:r w:rsidR="004E467B">
        <w:t xml:space="preserve">da </w:t>
      </w:r>
      <w:proofErr w:type="spellStart"/>
      <w:r w:rsidR="004E467B">
        <w:t>acção</w:t>
      </w:r>
      <w:proofErr w:type="spellEnd"/>
      <w:r w:rsidR="004E467B">
        <w:t xml:space="preserve"> </w:t>
      </w:r>
      <w:r>
        <w:t>pode</w:t>
      </w:r>
      <w:r w:rsidR="004E467B">
        <w:t>m</w:t>
      </w:r>
      <w:r>
        <w:t xml:space="preserve"> não ser consciente</w:t>
      </w:r>
      <w:r w:rsidR="004E467B">
        <w:t>s</w:t>
      </w:r>
      <w:r>
        <w:t xml:space="preserve"> para o </w:t>
      </w:r>
      <w:proofErr w:type="spellStart"/>
      <w:r>
        <w:t>actor</w:t>
      </w:r>
      <w:proofErr w:type="spellEnd"/>
      <w:r>
        <w:t xml:space="preserve">. Mas para um sociólogo </w:t>
      </w:r>
      <w:r w:rsidR="003F3529">
        <w:t>treinado</w:t>
      </w:r>
      <w:r>
        <w:t xml:space="preserve"> e atento, é possível determinar o sentido das </w:t>
      </w:r>
      <w:proofErr w:type="spellStart"/>
      <w:r w:rsidR="003F3529">
        <w:t>acções</w:t>
      </w:r>
      <w:proofErr w:type="spellEnd"/>
      <w:r>
        <w:t xml:space="preserve"> individuais. </w:t>
      </w:r>
      <w:r w:rsidR="003F3529">
        <w:t xml:space="preserve">A sociedade, nesse caso, seria a rede das relações </w:t>
      </w:r>
      <w:proofErr w:type="spellStart"/>
      <w:r w:rsidR="003F3529">
        <w:t>objectivas</w:t>
      </w:r>
      <w:proofErr w:type="spellEnd"/>
      <w:r w:rsidR="003F3529">
        <w:t xml:space="preserve"> </w:t>
      </w:r>
      <w:r w:rsidR="004E467B">
        <w:t xml:space="preserve">(práticas) </w:t>
      </w:r>
      <w:r w:rsidR="003F3529">
        <w:t xml:space="preserve">e </w:t>
      </w:r>
      <w:proofErr w:type="spellStart"/>
      <w:r w:rsidR="003F3529">
        <w:t>subjectivas</w:t>
      </w:r>
      <w:proofErr w:type="spellEnd"/>
      <w:r w:rsidR="003F3529">
        <w:t xml:space="preserve"> </w:t>
      </w:r>
      <w:r w:rsidR="004E467B">
        <w:t xml:space="preserve">(simbólicas) </w:t>
      </w:r>
      <w:r w:rsidR="003F3529">
        <w:t>que os agentes sociais estabelecem entre si.</w:t>
      </w:r>
    </w:p>
    <w:p w:rsidR="003F3529" w:rsidRDefault="003F3529">
      <w:r>
        <w:lastRenderedPageBreak/>
        <w:t>Temos, pois, dois grandes modelos intelectuais sobre como entender a sociedade, produzido pelos estados nação: sociedade solidária e ordeira</w:t>
      </w:r>
      <w:r w:rsidR="004E467B">
        <w:t>, em Durkheim,</w:t>
      </w:r>
      <w:r>
        <w:t xml:space="preserve"> e sociedade </w:t>
      </w:r>
      <w:r w:rsidR="004E467B">
        <w:t xml:space="preserve">individualista, </w:t>
      </w:r>
      <w:r>
        <w:t>caótica, de mercado, mas com um resultado final que ninguém pode evitar ou transformar por vontade própria</w:t>
      </w:r>
      <w:r w:rsidR="004E467B">
        <w:t xml:space="preserve">, em Weber. </w:t>
      </w:r>
      <w:proofErr w:type="spellStart"/>
      <w:r w:rsidR="004E467B">
        <w:t>Parsons</w:t>
      </w:r>
      <w:proofErr w:type="spellEnd"/>
      <w:r w:rsidR="004E467B">
        <w:t xml:space="preserve"> vai usar, fazer convergir, sintetizar e sistematizar as contribuições de ambos os autores, com vista a produzir um quadro de referências conceptuais únicas para toda a sociologia. A teoria crítica, da Escola de Frankfurt, vai contestar a hegemonia dessa visão da sociologia, juntando a ideia de classes (já sem luta internacionalista) decorrente da </w:t>
      </w:r>
      <w:proofErr w:type="spellStart"/>
      <w:r w:rsidR="004E467B">
        <w:t>actualização</w:t>
      </w:r>
      <w:proofErr w:type="spellEnd"/>
      <w:r w:rsidR="004E467B">
        <w:t xml:space="preserve"> do pensamento de Marx. Se a fome do século XIX teria de ser resolvida com organização económica, já a ascensão do nazismo durante a guerra mostrou a importância da luta cultural nas sociedades modernas, a vitória das democracias burguesas na guerra viria a recentrar as prioridades de luta pela emancipação (por uma sociedade melhor) na construção de um espaço público democrático aberto a todas as pessoas, mulheres, estrangeiros, ricos e pobres. Para </w:t>
      </w:r>
      <w:r w:rsidR="008F7C5F">
        <w:t xml:space="preserve">a Escola de Frankfurt, em </w:t>
      </w:r>
      <w:r w:rsidR="004E467B">
        <w:t xml:space="preserve">cada tempo histórico, ao contrário da proposta de </w:t>
      </w:r>
      <w:proofErr w:type="spellStart"/>
      <w:r w:rsidR="004E467B">
        <w:t>Parsons</w:t>
      </w:r>
      <w:proofErr w:type="spellEnd"/>
      <w:r w:rsidR="004E467B">
        <w:t xml:space="preserve">, as tarefas cívicas e políticas </w:t>
      </w:r>
      <w:r w:rsidR="008F7C5F">
        <w:t xml:space="preserve">deveriam ser adaptadas à evolução histórica. </w:t>
      </w:r>
      <w:r w:rsidR="004E467B">
        <w:t xml:space="preserve"> </w:t>
      </w:r>
    </w:p>
    <w:p w:rsidR="00024FCA" w:rsidRDefault="00024FCA"/>
    <w:sectPr w:rsidR="00024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03E"/>
    <w:multiLevelType w:val="hybridMultilevel"/>
    <w:tmpl w:val="DDB88D54"/>
    <w:lvl w:ilvl="0" w:tplc="5F34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C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EF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2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E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4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EA"/>
    <w:rsid w:val="00024FCA"/>
    <w:rsid w:val="00163DEA"/>
    <w:rsid w:val="003F3529"/>
    <w:rsid w:val="004E467B"/>
    <w:rsid w:val="004F56EC"/>
    <w:rsid w:val="00662A4A"/>
    <w:rsid w:val="00671533"/>
    <w:rsid w:val="006830AE"/>
    <w:rsid w:val="00843A3A"/>
    <w:rsid w:val="00875E18"/>
    <w:rsid w:val="008F7C5F"/>
    <w:rsid w:val="00966325"/>
    <w:rsid w:val="00A00E5F"/>
    <w:rsid w:val="00B50B12"/>
    <w:rsid w:val="00CC0380"/>
    <w:rsid w:val="00EC6D77"/>
    <w:rsid w:val="00ED557B"/>
    <w:rsid w:val="00FA5275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EF0A"/>
  <w15:chartTrackingRefBased/>
  <w15:docId w15:val="{9AE0A7DF-C847-48B9-814B-19E4E38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3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2</cp:revision>
  <dcterms:created xsi:type="dcterms:W3CDTF">2017-02-04T11:55:00Z</dcterms:created>
  <dcterms:modified xsi:type="dcterms:W3CDTF">2017-02-04T11:55:00Z</dcterms:modified>
</cp:coreProperties>
</file>