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4E" w:rsidRDefault="0062320C">
      <w:bookmarkStart w:id="0" w:name="_GoBack"/>
      <w:bookmarkEnd w:id="0"/>
      <w:r>
        <w:t>Perspectivas financeiras de combate à discriminação</w:t>
      </w:r>
    </w:p>
    <w:p w:rsidR="0062320C" w:rsidRDefault="0062320C">
      <w:r>
        <w:t xml:space="preserve">Convém começar por compreender bem o que é a discriminação, nos planos antropológico e político. Depois compreender bem o que é a finança, para poder estabelecer alguma ponte entre esses fenómenos. Tarefa mais fácil na prática que a nível teórico. Embora este último seja indispensável para sustentar a generalização das acções </w:t>
      </w:r>
      <w:proofErr w:type="spellStart"/>
      <w:r>
        <w:t>anti-discriminatórias</w:t>
      </w:r>
      <w:proofErr w:type="spellEnd"/>
      <w:r>
        <w:t>.</w:t>
      </w:r>
    </w:p>
    <w:p w:rsidR="0062320C" w:rsidRDefault="0062320C">
      <w:r>
        <w:t>Uma criança foi abandonada algures em África, por ser feiticeira. Escandaliza a notícia. Não é notícia a existência de dois mil milhões, quase um terço da humanidade, que não sabe se comerá no dia seguinte. Tal como para os próximos da criança, também o mundo inteiro prefere imaginar que os famintos fizeram a escolha de viver famintos, por não saberem poupar ou por não quererem trabalhar ou por não terem querido estudar.</w:t>
      </w:r>
    </w:p>
    <w:p w:rsidR="0062320C" w:rsidRDefault="0062320C">
      <w:r>
        <w:t xml:space="preserve">A discriminação não está </w:t>
      </w:r>
      <w:proofErr w:type="gramStart"/>
      <w:r>
        <w:t>no genes</w:t>
      </w:r>
      <w:proofErr w:type="gramEnd"/>
      <w:r>
        <w:t>, mas é parte da cultura humana</w:t>
      </w:r>
      <w:r w:rsidR="00D722E4">
        <w:t>, a todos os níveis. É segredo, em Portugal, que a esmagadora maioria dos presos foi, quando não tinha idade para entrar numa cadeia, criança e/ou jovem em risco sinalizado e, na prática, abandonado. Como é segredo que um terço das crianças passam fome, como relatam as escolas, sem que haja medidas de fundo para impedir comprometer a vida de um terço do pais enquanto essas crianças viverem. “Sempre houve pobres”, não nos alivia a consciência porque antes o processo de discriminação já nos tinha alheado de todas as pessoas em maus lençóis.</w:t>
      </w:r>
    </w:p>
    <w:p w:rsidR="00D722E4" w:rsidRDefault="00D722E4">
      <w:r>
        <w:t>Quando, por exemplo, um jornal acusa alguém de ser suspeito de ter cometido um crime, imediatamente o estigma passa a acompanhar essa pessoa e todas as que dela se aproximem. Para se distanciar deste mecanismo de discriminação explorado pelo sistema criminal, a lei prevê – e ninguém se ri – a presunção de inocência dos arguidos enquanto não houver sentença passada em julgado.</w:t>
      </w:r>
    </w:p>
    <w:p w:rsidR="00022F22" w:rsidRDefault="00D722E4">
      <w:r>
        <w:t xml:space="preserve">Vivemos numa sociedade que imaginamos menos violenta do que as que nos antecederam </w:t>
      </w:r>
      <w:r>
        <w:fldChar w:fldCharType="begin" w:fldLock="1"/>
      </w:r>
      <w:r>
        <w:instrText>ADDIN CSL_CITATION { "citationItems" : [ { "id" : "ITEM-1", "itemData" : { "author" : [ { "dropping-particle" : "", "family" : "Hirschman", "given" : "Albert O.", "non-dropping-particle" : "", "parse-names" : false, "suffix" : "" } ], "id" : "ITEM-1", "issued" : { "date-parts" : [ [ "1997" ] ] }, "publisher" : "Biz\u00e2ncio", "publisher-place" : "Lisboa", "title" : "As Paix\u00f5es e os Interesses", "type" : "book" }, "uris" : [ "http://www.mendeley.com/documents/?uuid=3c27be27-3dc0-4235-aa89-2b93ef9ce0fb" ] } ], "mendeley" : { "formattedCitation" : "(Hirschman 1997)", "plainTextFormattedCitation" : "(Hirschman 1997)", "previouslyFormattedCitation" : "(Hirschman 1997)" }, "properties" : { "noteIndex" : 0 }, "schema" : "https://github.com/citation-style-language/schema/raw/master/csl-citation.json" }</w:instrText>
      </w:r>
      <w:r>
        <w:fldChar w:fldCharType="separate"/>
      </w:r>
      <w:r w:rsidRPr="00D722E4">
        <w:rPr>
          <w:noProof/>
        </w:rPr>
        <w:t>(Hirschman 1997)</w:t>
      </w:r>
      <w:r>
        <w:fldChar w:fldCharType="end"/>
      </w:r>
      <w:r>
        <w:t xml:space="preserve"> e do que as sociedades não civilizadas </w:t>
      </w:r>
      <w:r>
        <w:fldChar w:fldCharType="begin" w:fldLock="1"/>
      </w:r>
      <w:r w:rsidR="00022F22">
        <w:instrText>ADDIN CSL_CITATION { "citationItems" : [ { "id" : "ITEM-1", "itemData" : { "author" : [ { "dropping-particle" : "", "family" : "Elias", "given" : "Norbert", "non-dropping-particle" : "", "parse-names" : false, "suffix" : "" } ], "edition" : "1\u00aa edi\u00e7\u00e3o ", "id" : "ITEM-1", "issued" : { "date-parts" : [ [ "1990" ] ] }, "publisher" : "D. Quixote", "publisher-place" : "Lisboa", "title" : "O Processo Civilizacional (Vol I e II)", "type" : "book" }, "uris" : [ "http://www.mendeley.com/documents/?uuid=6bd17800-ae0b-4b40-8f75-fe9e10fc358c" ] } ], "mendeley" : { "formattedCitation" : "(Elias 1990)", "plainTextFormattedCitation" : "(Elias 1990)", "previouslyFormattedCitation" : "(Elias 1990)" }, "properties" : { "noteIndex" : 0 }, "schema" : "https://github.com/citation-style-language/schema/raw/master/csl-citation.json" }</w:instrText>
      </w:r>
      <w:r>
        <w:fldChar w:fldCharType="separate"/>
      </w:r>
      <w:r w:rsidRPr="00D722E4">
        <w:rPr>
          <w:noProof/>
        </w:rPr>
        <w:t>(Elias 1990)</w:t>
      </w:r>
      <w:r>
        <w:fldChar w:fldCharType="end"/>
      </w:r>
      <w:r>
        <w:t xml:space="preserve">, por estar estabelecido um princípio de monopólio da violência legítima controlado pelo Estado, como descreveu Max Weber. </w:t>
      </w:r>
      <w:r w:rsidR="00022F22">
        <w:t>Esquecemo-nos de conferir os dados de destruição e de mortes que apontam, objectivamente, no sentido de serem as potências civilizadas as que mais violência directa infligiram em toda a história da humanidade e de verificar, simplesmente, jamais ter existido tanto poder bélico como nos dias de hoje.</w:t>
      </w:r>
    </w:p>
    <w:p w:rsidR="00D722E4" w:rsidRDefault="00022F22">
      <w:r>
        <w:t xml:space="preserve">O controlo da violência é realizado com a organização de níveis de violência potencialmente inauditos, sob forma de ameaça. Como forma de coacção dirigida para a exploração da natureza e do trabalho humano, cujos resultados são traduzidos em moeda e concentrados a níveis nunca vistos. Como escreveu </w:t>
      </w:r>
      <w:r w:rsidRPr="00022F22">
        <w:rPr>
          <w:noProof/>
        </w:rPr>
        <w:t xml:space="preserve">Malešević </w:t>
      </w:r>
      <w:r>
        <w:fldChar w:fldCharType="begin" w:fldLock="1"/>
      </w:r>
      <w:r>
        <w:instrText>ADDIN CSL_CITATION { "citationItems" : [ { "id" : "ITEM-1", "itemData" : { "abstract" : "17 falta de violencia na TS", "author" : [ { "dropping-particle" : "", "family" : "Male\u0161evi\u0107", "given" : "Sini\u0161a", "non-dropping-particle" : "", "parse-names" : false, "suffix" : "" } ], "id" : "ITEM-1", "issued" : { "date-parts" : [ [ "2010" ] ] }, "publisher" : "Cambridge University Press", "publisher-place" : "Cambridge", "title" : "The Sociology of War and Violence", "type" : "book" }, "uris" : [ "http://www.mendeley.com/documents/?uuid=dfd358a9-a9a6-4f2e-8daa-af66850bf367" ] } ], "mendeley" : { "formattedCitation" : "(Male\u0161evi\u0107 2010)", "manualFormatting" : "(2010)", "plainTextFormattedCitation" : "(Male\u0161evi\u0107 2010)", "previouslyFormattedCitation" : "(Male\u0161evi\u0107 2010)" }, "properties" : { "noteIndex" : 0 }, "schema" : "https://github.com/citation-style-language/schema/raw/master/csl-citation.json" }</w:instrText>
      </w:r>
      <w:r>
        <w:fldChar w:fldCharType="separate"/>
      </w:r>
      <w:r w:rsidRPr="00022F22">
        <w:rPr>
          <w:noProof/>
        </w:rPr>
        <w:t>(2010)</w:t>
      </w:r>
      <w:r>
        <w:fldChar w:fldCharType="end"/>
      </w:r>
      <w:r>
        <w:t xml:space="preserve">, é a diferença de potencial de exercício da violência o primeiro fundamento da organização, isto é da discriminação funcional, utilitária. Os que se coordenam entre si para exercer violência sobre terceiros, fechando-se defensiva ou ofensivamente </w:t>
      </w:r>
      <w:r>
        <w:fldChar w:fldCharType="begin" w:fldLock="1"/>
      </w:r>
      <w:r w:rsidR="006E408C">
        <w:instrText>ADDIN CSL_CITATION { "citationItems" : [ { "id" : "ITEM-1", "itemData" : { "author" : [ { "dropping-particle" : "", "family" : "Parkin", "given" : "Frank", "non-dropping-particle" : "", "parse-names" : false, "suffix" : "" } ], "id" : "ITEM-1", "issued" : { "date-parts" : [ [ "1979" ] ] }, "publisher" : "Columbia University", "publisher-place" : "NY", "title" : "Marxism and Class Theory", "type" : "book" }, "uris" : [ "http://www.mendeley.com/documents/?uuid=b1d64886-f8b6-45b4-a137-902476ac1715" ] } ], "mendeley" : { "formattedCitation" : "(Parkin 1979)", "plainTextFormattedCitation" : "(Parkin 1979)", "previouslyFormattedCitation" : "(Parkin 1979)" }, "properties" : { "noteIndex" : 0 }, "schema" : "https://github.com/citation-style-language/schema/raw/master/csl-citation.json" }</w:instrText>
      </w:r>
      <w:r>
        <w:fldChar w:fldCharType="separate"/>
      </w:r>
      <w:r w:rsidRPr="00022F22">
        <w:rPr>
          <w:noProof/>
        </w:rPr>
        <w:t>(Parkin 1979)</w:t>
      </w:r>
      <w:r>
        <w:fldChar w:fldCharType="end"/>
      </w:r>
      <w:r w:rsidR="006E408C">
        <w:t xml:space="preserve">, precisam de criar uma coesão interna capaz de resistir à empatia natural das pessoas com os outros seres humanos e com a natureza em geral. Criam as ideologias discriminatórias, que são quase todas. Religiosas, nacionalistas, políticas, organizativas, tribais, familiares, as próprias linguagens desenvolvidas por este tipo de motivações identitárias indispensáveis à nossa existência, definem o que seja semelhante e diferente de nós, classificando os seres humanos que merecem ou não a nossa simpatia, e </w:t>
      </w:r>
      <w:r w:rsidR="006E408C">
        <w:lastRenderedPageBreak/>
        <w:t>tratando por santos ou traidores, filantropos ou cúmplices, os que se afastam da norma imposta.</w:t>
      </w:r>
    </w:p>
    <w:p w:rsidR="006E408C" w:rsidRDefault="006E408C">
      <w:r>
        <w:t xml:space="preserve">A finança – vou seguir David </w:t>
      </w:r>
      <w:proofErr w:type="spellStart"/>
      <w:r>
        <w:t>Graeber</w:t>
      </w:r>
      <w:proofErr w:type="spellEnd"/>
      <w:r>
        <w:t xml:space="preserve"> </w:t>
      </w:r>
      <w:r>
        <w:fldChar w:fldCharType="begin" w:fldLock="1"/>
      </w:r>
      <w:r w:rsidR="00392AD9">
        <w:instrText>ADDIN CSL_CITATION { "citationItems" : [ { "id" : "ITEM-1", "itemData" : { "abstract" : "mafia - 163 tipos de economia 94-113", "author" : [ { "dropping-particle" : "", "family" : "Graeber", "given" : "David", "non-dropping-particle" : "", "parse-names" : false, "suffix" : "" } ], "id" : "ITEM-1", "issued" : { "date-parts" : [ [ "2011" ] ] }, "publisher" : "Melville House Publishing", "publisher-place" : "NY", "title" : "Debt \u2013 the First 5000 Years", "type" : "book" }, "suppress-author" : 1, "uris" : [ "http://www.mendeley.com/documents/?uuid=98d4daad-a42d-47ae-846e-8b0e92a4beb2" ] } ], "mendeley" : { "formattedCitation" : "(2011)", "plainTextFormattedCitation" : "(2011)", "previouslyFormattedCitation" : "(2011)" }, "properties" : { "noteIndex" : 0 }, "schema" : "https://github.com/citation-style-language/schema/raw/master/csl-citation.json" }</w:instrText>
      </w:r>
      <w:r>
        <w:fldChar w:fldCharType="separate"/>
      </w:r>
      <w:r w:rsidRPr="006E408C">
        <w:rPr>
          <w:noProof/>
        </w:rPr>
        <w:t>(2011)</w:t>
      </w:r>
      <w:r>
        <w:fldChar w:fldCharType="end"/>
      </w:r>
      <w:r>
        <w:t xml:space="preserve"> – é uma construção sobre as discriminações organizativas. Para cunhar moeda foi preciso, previamente, estar estabelecido um poder organizativo suficientemente estável e reconhecível </w:t>
      </w:r>
      <w:r w:rsidR="00392AD9">
        <w:t>para se poder confiar que estaria sempre disposto a cumprir a sua obrigação de honra a propriedade da moeda. Os mercados, como hoje os conhecemos, foram criados para estabelecer alianças entre os que podem deslocar-se e organizar trocas, sob a égide de um poder central reconhecido por todos: quem tenha a casa da moeda, a banca, isto é, a força para fazer valer o seu valor.</w:t>
      </w:r>
    </w:p>
    <w:p w:rsidR="00392AD9" w:rsidRDefault="00392AD9">
      <w:r>
        <w:t>Sim: vivemos numa sociedade fundada nas discriminações, no elitismo e na dissimulação. Num mundo cheio de famintos, de gente adoradora das oportunidades de escapar à fome e, portanto, olhando para cima, na escada social, e ignorando para baixo, a humanidade esmagada por si mesma.</w:t>
      </w:r>
    </w:p>
    <w:p w:rsidR="00392AD9" w:rsidRDefault="00392AD9">
      <w:r>
        <w:t>É possível sair deste dilema: ou organizados e violentos, ou pacíficos e famintos?</w:t>
      </w:r>
    </w:p>
    <w:p w:rsidR="00392AD9" w:rsidRDefault="00392AD9">
      <w:r>
        <w:t>Nada na história nos aponta uma solução. Nada na história nos impede de acreditar que o impossível se concretiza na prática.</w:t>
      </w:r>
    </w:p>
    <w:p w:rsidR="00392AD9" w:rsidRDefault="00392AD9">
      <w:proofErr w:type="spellStart"/>
      <w:r>
        <w:t>Wilkinson</w:t>
      </w:r>
      <w:proofErr w:type="spellEnd"/>
      <w:r>
        <w:t xml:space="preserve"> e </w:t>
      </w:r>
      <w:proofErr w:type="spellStart"/>
      <w:r>
        <w:t>Pickett</w:t>
      </w:r>
      <w:proofErr w:type="spellEnd"/>
      <w:r>
        <w:t xml:space="preserve"> </w:t>
      </w:r>
      <w:r>
        <w:fldChar w:fldCharType="begin" w:fldLock="1"/>
      </w:r>
      <w:r>
        <w:instrText>ADDIN CSL_CITATION { "citationItems" : [ { "id" : "ITEM-1", "itemData" : { "abstract" : "132 gr\u00e1fico de idade de homicidas USA-England&amp;Wales 30/1 9 gr\u00e1fico felicidade X rendimento 10 mil dolares ano", "author" : [ { "dropping-particle" : "", "family" : "Wilkinson", "given" : "Richard", "non-dropping-particle" : "", "parse-names" : false, "suffix" : "" }, { "dropping-particle" : "", "family" : "Pickett", "given" : "Kate", "non-dropping-particle" : "", "parse-names" : false, "suffix" : "" } ], "id" : "ITEM-1", "issued" : { "date-parts" : [ [ "2009" ] ] }, "publisher" : "Penguin Books", "publisher-place" : "London", "title" : "The Spirit Level \u2013 why more equal societies almost always do better", "type" : "book" }, "suppress-author" : 1, "uris" : [ "http://www.mendeley.com/documents/?uuid=a090dab3-0d51-4fab-8e43-ae0d13e80d6b" ] } ], "mendeley" : { "formattedCitation" : "(2009)", "plainTextFormattedCitation" : "(2009)" }, "properties" : { "noteIndex" : 0 }, "schema" : "https://github.com/citation-style-language/schema/raw/master/csl-citation.json" }</w:instrText>
      </w:r>
      <w:r>
        <w:fldChar w:fldCharType="separate"/>
      </w:r>
      <w:r w:rsidRPr="00392AD9">
        <w:rPr>
          <w:noProof/>
        </w:rPr>
        <w:t>(2009)</w:t>
      </w:r>
      <w:r>
        <w:fldChar w:fldCharType="end"/>
      </w:r>
      <w:r>
        <w:t xml:space="preserve"> estabeleceram a existência de uma lei de relacionamento entre a violência e </w:t>
      </w:r>
      <w:r w:rsidR="005C1F4C">
        <w:t>as políticas financeiras nos países desenvolvidos, embora não tenham estabelecido os contornos dos mecanismos sociais que sustentam a lei. A lei é simples e é esta: quanto maior a diferença de rendimentos entre pessoas a viver em certo Estado, maior é a probabilidade de ocorrência de problemas sociais, incluindo violência.</w:t>
      </w:r>
    </w:p>
    <w:p w:rsidR="005C1F4C" w:rsidRDefault="005C1F4C">
      <w:r>
        <w:t>Por outro lado, os autores citam o conhecimento anteriormente adquirido sobre como o aumento de rendimentos influi positivamente na felicidade, até certo nível de rendimentos. E como para cima desse rendimento, todos os acréscimos são neutros relativamente à probabilidade de alterar o estado de felicidade de cada um.</w:t>
      </w:r>
    </w:p>
    <w:p w:rsidR="005C1F4C" w:rsidRDefault="005C1F4C">
      <w:r>
        <w:t>Com base nestas informações, fácil será perguntar se não será possível imaginar uma política financeira que assegure a todos os seres humanos o nível de rendimento útil para assegurar a igualdade de oportunidades de experimentar a felicidade.</w:t>
      </w:r>
    </w:p>
    <w:p w:rsidR="0062320C" w:rsidRDefault="005C1F4C">
      <w:r>
        <w:t>É possível, sim. O Rendimento Básico Incondicional (RBI), também conhecido por Renda Cidadã, perspectiva uma sociedade sustentável em que a cada pessoa, individualmente, seja atribuído, sem condições, um valor de dinheiro capaz de oferecer condições de vida digna a todos e cada um. Nenhuma ideologia se opõe a este objectivo político. Mas nenhuma está disposta a apoiá-lo. Porque isso iria abalar a firmeza da discriminação social entre tr</w:t>
      </w:r>
      <w:r w:rsidR="001C49F5">
        <w:t xml:space="preserve">abalhadores e não trabalhadores, para uns, à esquerda, a sua identidade mítica, e para outros, à direita, o modo mais central de discriminação social actualmente em vigor. </w:t>
      </w:r>
    </w:p>
    <w:sectPr w:rsidR="006232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0C"/>
    <w:rsid w:val="00022F22"/>
    <w:rsid w:val="001C49F5"/>
    <w:rsid w:val="00392AD9"/>
    <w:rsid w:val="005C1F4C"/>
    <w:rsid w:val="0062320C"/>
    <w:rsid w:val="006E408C"/>
    <w:rsid w:val="00802EE3"/>
    <w:rsid w:val="00957FFB"/>
    <w:rsid w:val="00D722E4"/>
    <w:rsid w:val="00F3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516D5-5057-48E5-AA1D-2BDBBC15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1813</Words>
  <Characters>9791</Characters>
  <Application>Microsoft Office Word</Application>
  <DocSecurity>4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pedro dores</dc:creator>
  <cp:lastModifiedBy>Antonio Dores</cp:lastModifiedBy>
  <cp:revision>2</cp:revision>
  <dcterms:created xsi:type="dcterms:W3CDTF">2016-04-09T11:27:00Z</dcterms:created>
  <dcterms:modified xsi:type="dcterms:W3CDTF">2016-04-09T11:27:00Z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apad@iscte.pt@www.mendeley.com</vt:lpwstr>
  </property>
  <property fmtid="{D5CDD505-2E9C-101B-9397-08002B2CF9AE}" pid="4" name="Mendeley Citation Style_1">
    <vt:lpwstr>http://www.zotero.org/styles/harvard1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